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cs="Times New Roman"/>
          <w:b/>
          <w:color w:val="000000" w:themeColor="text1"/>
          <w:szCs w:val="28"/>
          <w:highlight w:val="none"/>
          <w14:textFill>
            <w14:solidFill>
              <w14:schemeClr w14:val="tx1"/>
            </w14:solidFill>
          </w14:textFill>
        </w:rPr>
      </w:pPr>
      <w:bookmarkStart w:id="0" w:name="_Toc54078455"/>
      <w:bookmarkStart w:id="1" w:name="_Toc78946330"/>
      <w:bookmarkStart w:id="2" w:name="_Toc19412"/>
      <w:bookmarkStart w:id="3" w:name="_Toc250495240"/>
      <w:bookmarkStart w:id="4" w:name="_Toc405541644"/>
      <w:bookmarkStart w:id="5" w:name="_Toc167086337"/>
      <w:bookmarkStart w:id="6" w:name="_Toc167086254"/>
      <w:r>
        <w:rPr>
          <w:rFonts w:hint="eastAsia" w:ascii="黑体" w:hAnsi="黑体" w:eastAsia="黑体" w:cs="黑体"/>
          <w:b/>
          <w:color w:val="000000" w:themeColor="text1"/>
          <w:szCs w:val="28"/>
          <w:highlight w:val="none"/>
          <w14:textFill>
            <w14:solidFill>
              <w14:schemeClr w14:val="tx1"/>
            </w14:solidFill>
          </w14:textFill>
        </w:rPr>
        <w:t>目  录</w:t>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val="0"/>
          <w:caps w:val="0"/>
          <w:smallCaps/>
          <w:color w:val="000000" w:themeColor="text1"/>
          <w:sz w:val="24"/>
          <w:szCs w:val="24"/>
          <w:highlight w:val="none"/>
          <w14:textFill>
            <w14:solidFill>
              <w14:schemeClr w14:val="tx1"/>
            </w14:solidFill>
          </w14:textFill>
        </w:rPr>
        <w:fldChar w:fldCharType="begin"/>
      </w:r>
      <w:r>
        <w:rPr>
          <w:rFonts w:hint="eastAsia" w:ascii="仿宋" w:hAnsi="仿宋" w:eastAsia="仿宋" w:cs="仿宋"/>
          <w:bCs w:val="0"/>
          <w:caps w:val="0"/>
          <w:smallCaps/>
          <w:color w:val="000000" w:themeColor="text1"/>
          <w:sz w:val="24"/>
          <w:szCs w:val="24"/>
          <w:highlight w:val="none"/>
          <w14:textFill>
            <w14:solidFill>
              <w14:schemeClr w14:val="tx1"/>
            </w14:solidFill>
          </w14:textFill>
        </w:rPr>
        <w:instrText xml:space="preserve"> TOC \o "1-2" \h \z \u </w:instrText>
      </w:r>
      <w:r>
        <w:rPr>
          <w:rFonts w:hint="eastAsia" w:ascii="仿宋" w:hAnsi="仿宋" w:eastAsia="仿宋" w:cs="仿宋"/>
          <w:bCs w:val="0"/>
          <w:caps w:val="0"/>
          <w:smallCaps/>
          <w:color w:val="000000" w:themeColor="text1"/>
          <w:sz w:val="24"/>
          <w:szCs w:val="24"/>
          <w:highlight w:val="none"/>
          <w14:textFill>
            <w14:solidFill>
              <w14:schemeClr w14:val="tx1"/>
            </w14:solidFill>
          </w14:textFill>
        </w:rPr>
        <w:fldChar w:fldCharType="separate"/>
      </w:r>
      <w:r>
        <w:rPr>
          <w:rFonts w:hint="eastAsia" w:ascii="仿宋" w:hAnsi="仿宋" w:eastAsia="仿宋" w:cs="仿宋"/>
          <w:bCs w:val="0"/>
          <w:caps w:val="0"/>
          <w:smallCaps/>
          <w:color w:val="000000" w:themeColor="text1"/>
          <w:sz w:val="24"/>
          <w:szCs w:val="22"/>
          <w:highlight w:val="none"/>
          <w14:textFill>
            <w14:solidFill>
              <w14:schemeClr w14:val="tx1"/>
            </w14:solidFill>
          </w14:textFill>
        </w:rPr>
        <w:fldChar w:fldCharType="begin"/>
      </w:r>
      <w:r>
        <w:rPr>
          <w:rFonts w:hint="eastAsia" w:ascii="仿宋" w:hAnsi="仿宋" w:eastAsia="仿宋" w:cs="仿宋"/>
          <w:bCs w:val="0"/>
          <w:caps w:val="0"/>
          <w:smallCaps/>
          <w:sz w:val="24"/>
          <w:szCs w:val="22"/>
          <w:highlight w:val="none"/>
        </w:rPr>
        <w:instrText xml:space="preserve"> HYPERLINK \l _Toc30901 </w:instrText>
      </w:r>
      <w:r>
        <w:rPr>
          <w:rFonts w:hint="eastAsia" w:ascii="仿宋" w:hAnsi="仿宋" w:eastAsia="仿宋" w:cs="仿宋"/>
          <w:bCs w:val="0"/>
          <w:caps w:val="0"/>
          <w:smallCaps/>
          <w:sz w:val="24"/>
          <w:szCs w:val="22"/>
          <w:highlight w:val="none"/>
        </w:rPr>
        <w:fldChar w:fldCharType="separate"/>
      </w:r>
      <w:r>
        <w:rPr>
          <w:sz w:val="24"/>
          <w:szCs w:val="24"/>
          <w:highlight w:val="none"/>
        </w:rPr>
        <w:t>第</w:t>
      </w:r>
      <w:r>
        <w:rPr>
          <w:rFonts w:hint="eastAsia"/>
          <w:sz w:val="24"/>
          <w:szCs w:val="24"/>
          <w:highlight w:val="none"/>
          <w:lang w:val="en-US" w:eastAsia="zh-CN"/>
        </w:rPr>
        <w:t>1</w:t>
      </w:r>
      <w:r>
        <w:rPr>
          <w:sz w:val="24"/>
          <w:szCs w:val="24"/>
          <w:highlight w:val="none"/>
        </w:rPr>
        <w:t xml:space="preserve">章  </w:t>
      </w:r>
      <w:r>
        <w:rPr>
          <w:rFonts w:hint="eastAsia"/>
          <w:sz w:val="24"/>
          <w:szCs w:val="24"/>
          <w:highlight w:val="none"/>
          <w:lang w:val="en-US" w:eastAsia="zh-CN"/>
        </w:rPr>
        <w:t>总  论</w:t>
      </w:r>
      <w:r>
        <w:rPr>
          <w:sz w:val="24"/>
          <w:szCs w:val="24"/>
        </w:rPr>
        <w:tab/>
      </w:r>
      <w:r>
        <w:rPr>
          <w:sz w:val="24"/>
          <w:szCs w:val="24"/>
        </w:rPr>
        <w:fldChar w:fldCharType="begin"/>
      </w:r>
      <w:r>
        <w:rPr>
          <w:sz w:val="24"/>
          <w:szCs w:val="24"/>
        </w:rPr>
        <w:instrText xml:space="preserve"> PAGEREF _Toc30901 \h </w:instrText>
      </w:r>
      <w:r>
        <w:rPr>
          <w:sz w:val="24"/>
          <w:szCs w:val="24"/>
        </w:rPr>
        <w:fldChar w:fldCharType="separate"/>
      </w:r>
      <w:r>
        <w:rPr>
          <w:sz w:val="24"/>
          <w:szCs w:val="24"/>
        </w:rPr>
        <w:t>1</w:t>
      </w:r>
      <w:r>
        <w:rPr>
          <w:sz w:val="24"/>
          <w:szCs w:val="24"/>
        </w:rPr>
        <w:fldChar w:fldCharType="end"/>
      </w:r>
      <w:r>
        <w:rPr>
          <w:rFonts w:hint="eastAsia" w:ascii="仿宋" w:hAnsi="仿宋" w:eastAsia="仿宋" w:cs="仿宋"/>
          <w:bCs w:val="0"/>
          <w:caps w:val="0"/>
          <w:smallCaps/>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_Toc25522 </w:instrText>
      </w:r>
      <w:r>
        <w:rPr>
          <w:rFonts w:hint="eastAsia" w:ascii="仿宋" w:hAnsi="仿宋" w:eastAsia="仿宋" w:cs="仿宋"/>
          <w:bCs/>
          <w:caps/>
          <w:smallCaps w:val="0"/>
          <w:sz w:val="24"/>
          <w:szCs w:val="22"/>
          <w:highlight w:val="none"/>
        </w:rPr>
        <w:fldChar w:fldCharType="separate"/>
      </w:r>
      <w:r>
        <w:rPr>
          <w:sz w:val="24"/>
          <w:szCs w:val="24"/>
          <w:highlight w:val="none"/>
        </w:rPr>
        <w:t>1.1项目背景</w:t>
      </w:r>
      <w:r>
        <w:rPr>
          <w:sz w:val="24"/>
          <w:szCs w:val="24"/>
        </w:rPr>
        <w:tab/>
      </w:r>
      <w:r>
        <w:rPr>
          <w:sz w:val="24"/>
          <w:szCs w:val="24"/>
        </w:rPr>
        <w:fldChar w:fldCharType="begin"/>
      </w:r>
      <w:r>
        <w:rPr>
          <w:sz w:val="24"/>
          <w:szCs w:val="24"/>
        </w:rPr>
        <w:instrText xml:space="preserve"> PAGEREF _Toc25522 \h </w:instrText>
      </w:r>
      <w:r>
        <w:rPr>
          <w:sz w:val="24"/>
          <w:szCs w:val="24"/>
        </w:rPr>
        <w:fldChar w:fldCharType="separate"/>
      </w:r>
      <w:r>
        <w:rPr>
          <w:sz w:val="24"/>
          <w:szCs w:val="24"/>
        </w:rPr>
        <w:t>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_Toc7656 </w:instrText>
      </w:r>
      <w:r>
        <w:rPr>
          <w:rFonts w:hint="eastAsia" w:ascii="仿宋" w:hAnsi="仿宋" w:eastAsia="仿宋" w:cs="仿宋"/>
          <w:bCs/>
          <w:caps/>
          <w:smallCaps w:val="0"/>
          <w:sz w:val="24"/>
          <w:szCs w:val="22"/>
          <w:highlight w:val="none"/>
        </w:rPr>
        <w:fldChar w:fldCharType="separate"/>
      </w:r>
      <w:r>
        <w:rPr>
          <w:sz w:val="24"/>
          <w:szCs w:val="24"/>
          <w:highlight w:val="none"/>
        </w:rPr>
        <w:t>1.2</w:t>
      </w:r>
      <w:r>
        <w:rPr>
          <w:rFonts w:hint="eastAsia"/>
          <w:sz w:val="24"/>
          <w:szCs w:val="24"/>
          <w:highlight w:val="none"/>
          <w:lang w:eastAsia="zh-CN"/>
        </w:rPr>
        <w:t>实施方案</w:t>
      </w:r>
      <w:r>
        <w:rPr>
          <w:sz w:val="24"/>
          <w:szCs w:val="24"/>
          <w:highlight w:val="none"/>
        </w:rPr>
        <w:t>编制依据</w:t>
      </w:r>
      <w:r>
        <w:rPr>
          <w:sz w:val="24"/>
          <w:szCs w:val="24"/>
        </w:rPr>
        <w:tab/>
      </w:r>
      <w:r>
        <w:rPr>
          <w:sz w:val="24"/>
          <w:szCs w:val="24"/>
        </w:rPr>
        <w:fldChar w:fldCharType="begin"/>
      </w:r>
      <w:r>
        <w:rPr>
          <w:sz w:val="24"/>
          <w:szCs w:val="24"/>
        </w:rPr>
        <w:instrText xml:space="preserve"> PAGEREF _Toc7656 \h </w:instrText>
      </w:r>
      <w:r>
        <w:rPr>
          <w:sz w:val="24"/>
          <w:szCs w:val="24"/>
        </w:rPr>
        <w:fldChar w:fldCharType="separate"/>
      </w:r>
      <w:r>
        <w:rPr>
          <w:sz w:val="24"/>
          <w:szCs w:val="24"/>
        </w:rPr>
        <w:t>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_Toc23089 </w:instrText>
      </w:r>
      <w:r>
        <w:rPr>
          <w:rFonts w:hint="eastAsia" w:ascii="仿宋" w:hAnsi="仿宋" w:eastAsia="仿宋" w:cs="仿宋"/>
          <w:bCs/>
          <w:caps/>
          <w:smallCaps w:val="0"/>
          <w:sz w:val="24"/>
          <w:szCs w:val="22"/>
          <w:highlight w:val="none"/>
        </w:rPr>
        <w:fldChar w:fldCharType="separate"/>
      </w:r>
      <w:r>
        <w:rPr>
          <w:sz w:val="24"/>
          <w:szCs w:val="24"/>
          <w:highlight w:val="none"/>
        </w:rPr>
        <w:t>1.3项目编制范围</w:t>
      </w:r>
      <w:r>
        <w:rPr>
          <w:sz w:val="24"/>
          <w:szCs w:val="24"/>
        </w:rPr>
        <w:tab/>
      </w:r>
      <w:r>
        <w:rPr>
          <w:sz w:val="24"/>
          <w:szCs w:val="24"/>
        </w:rPr>
        <w:fldChar w:fldCharType="begin"/>
      </w:r>
      <w:r>
        <w:rPr>
          <w:sz w:val="24"/>
          <w:szCs w:val="24"/>
        </w:rPr>
        <w:instrText xml:space="preserve"> PAGEREF _Toc23089 \h </w:instrText>
      </w:r>
      <w:r>
        <w:rPr>
          <w:sz w:val="24"/>
          <w:szCs w:val="24"/>
        </w:rPr>
        <w:fldChar w:fldCharType="separate"/>
      </w:r>
      <w:r>
        <w:rPr>
          <w:sz w:val="24"/>
          <w:szCs w:val="24"/>
        </w:rPr>
        <w:t>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_Toc3910 </w:instrText>
      </w:r>
      <w:r>
        <w:rPr>
          <w:rFonts w:hint="eastAsia" w:ascii="仿宋" w:hAnsi="仿宋" w:eastAsia="仿宋" w:cs="仿宋"/>
          <w:bCs/>
          <w:caps/>
          <w:smallCaps w:val="0"/>
          <w:sz w:val="24"/>
          <w:szCs w:val="22"/>
          <w:highlight w:val="none"/>
        </w:rPr>
        <w:fldChar w:fldCharType="separate"/>
      </w:r>
      <w:r>
        <w:rPr>
          <w:sz w:val="24"/>
          <w:szCs w:val="24"/>
          <w:highlight w:val="none"/>
        </w:rPr>
        <w:t>1.4项目概况</w:t>
      </w:r>
      <w:r>
        <w:rPr>
          <w:sz w:val="24"/>
          <w:szCs w:val="24"/>
        </w:rPr>
        <w:tab/>
      </w:r>
      <w:r>
        <w:rPr>
          <w:sz w:val="24"/>
          <w:szCs w:val="24"/>
        </w:rPr>
        <w:fldChar w:fldCharType="begin"/>
      </w:r>
      <w:r>
        <w:rPr>
          <w:sz w:val="24"/>
          <w:szCs w:val="24"/>
        </w:rPr>
        <w:instrText xml:space="preserve"> PAGEREF _Toc3910 \h </w:instrText>
      </w:r>
      <w:r>
        <w:rPr>
          <w:sz w:val="24"/>
          <w:szCs w:val="24"/>
        </w:rPr>
        <w:fldChar w:fldCharType="separate"/>
      </w:r>
      <w:r>
        <w:rPr>
          <w:sz w:val="24"/>
          <w:szCs w:val="24"/>
        </w:rPr>
        <w:t>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_Toc29226 </w:instrText>
      </w:r>
      <w:r>
        <w:rPr>
          <w:rFonts w:hint="eastAsia" w:ascii="仿宋" w:hAnsi="仿宋" w:eastAsia="仿宋" w:cs="仿宋"/>
          <w:bCs/>
          <w:caps/>
          <w:smallCaps w:val="0"/>
          <w:sz w:val="24"/>
          <w:szCs w:val="22"/>
          <w:highlight w:val="none"/>
        </w:rPr>
        <w:fldChar w:fldCharType="separate"/>
      </w:r>
      <w:r>
        <w:rPr>
          <w:sz w:val="24"/>
          <w:szCs w:val="24"/>
          <w:highlight w:val="none"/>
        </w:rPr>
        <w:t>1.5结论</w:t>
      </w:r>
      <w:r>
        <w:rPr>
          <w:sz w:val="24"/>
          <w:szCs w:val="24"/>
        </w:rPr>
        <w:tab/>
      </w:r>
      <w:r>
        <w:rPr>
          <w:sz w:val="24"/>
          <w:szCs w:val="24"/>
        </w:rPr>
        <w:fldChar w:fldCharType="begin"/>
      </w:r>
      <w:r>
        <w:rPr>
          <w:sz w:val="24"/>
          <w:szCs w:val="24"/>
        </w:rPr>
        <w:instrText xml:space="preserve"> PAGEREF _Toc29226 \h </w:instrText>
      </w:r>
      <w:r>
        <w:rPr>
          <w:sz w:val="24"/>
          <w:szCs w:val="24"/>
        </w:rPr>
        <w:fldChar w:fldCharType="separate"/>
      </w:r>
      <w:r>
        <w:rPr>
          <w:sz w:val="24"/>
          <w:szCs w:val="24"/>
        </w:rPr>
        <w:t>6</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_Toc17222 </w:instrText>
      </w:r>
      <w:r>
        <w:rPr>
          <w:rFonts w:hint="eastAsia" w:ascii="仿宋" w:hAnsi="仿宋" w:eastAsia="仿宋" w:cs="仿宋"/>
          <w:bCs/>
          <w:caps/>
          <w:smallCaps w:val="0"/>
          <w:sz w:val="24"/>
          <w:szCs w:val="22"/>
          <w:highlight w:val="none"/>
        </w:rPr>
        <w:fldChar w:fldCharType="separate"/>
      </w:r>
      <w:r>
        <w:rPr>
          <w:sz w:val="24"/>
          <w:szCs w:val="24"/>
          <w:highlight w:val="none"/>
        </w:rPr>
        <w:t>第2章  项目现状与必要性</w:t>
      </w:r>
      <w:r>
        <w:rPr>
          <w:sz w:val="24"/>
          <w:szCs w:val="24"/>
        </w:rPr>
        <w:tab/>
      </w:r>
      <w:r>
        <w:rPr>
          <w:sz w:val="24"/>
          <w:szCs w:val="24"/>
        </w:rPr>
        <w:fldChar w:fldCharType="begin"/>
      </w:r>
      <w:r>
        <w:rPr>
          <w:sz w:val="24"/>
          <w:szCs w:val="24"/>
        </w:rPr>
        <w:instrText xml:space="preserve"> PAGEREF _Toc17222 \h </w:instrText>
      </w:r>
      <w:r>
        <w:rPr>
          <w:sz w:val="24"/>
          <w:szCs w:val="24"/>
        </w:rPr>
        <w:fldChar w:fldCharType="separate"/>
      </w:r>
      <w:r>
        <w:rPr>
          <w:sz w:val="24"/>
          <w:szCs w:val="24"/>
        </w:rPr>
        <w:t>8</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_Toc8710 </w:instrText>
      </w:r>
      <w:r>
        <w:rPr>
          <w:rFonts w:hint="eastAsia" w:ascii="仿宋" w:hAnsi="仿宋" w:eastAsia="仿宋" w:cs="仿宋"/>
          <w:bCs/>
          <w:caps/>
          <w:smallCaps w:val="0"/>
          <w:sz w:val="24"/>
          <w:szCs w:val="22"/>
          <w:highlight w:val="none"/>
        </w:rPr>
        <w:fldChar w:fldCharType="separate"/>
      </w:r>
      <w:r>
        <w:rPr>
          <w:sz w:val="24"/>
          <w:szCs w:val="24"/>
        </w:rPr>
        <w:t>2.1项目现状</w:t>
      </w:r>
      <w:r>
        <w:rPr>
          <w:sz w:val="24"/>
          <w:szCs w:val="24"/>
        </w:rPr>
        <w:tab/>
      </w:r>
      <w:r>
        <w:rPr>
          <w:sz w:val="24"/>
          <w:szCs w:val="24"/>
        </w:rPr>
        <w:fldChar w:fldCharType="begin"/>
      </w:r>
      <w:r>
        <w:rPr>
          <w:sz w:val="24"/>
          <w:szCs w:val="24"/>
        </w:rPr>
        <w:instrText xml:space="preserve"> PAGEREF _Toc8710 \h </w:instrText>
      </w:r>
      <w:r>
        <w:rPr>
          <w:sz w:val="24"/>
          <w:szCs w:val="24"/>
        </w:rPr>
        <w:fldChar w:fldCharType="separate"/>
      </w:r>
      <w:r>
        <w:rPr>
          <w:sz w:val="24"/>
          <w:szCs w:val="24"/>
        </w:rPr>
        <w:t>8</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_Toc4409 </w:instrText>
      </w:r>
      <w:r>
        <w:rPr>
          <w:rFonts w:hint="eastAsia" w:ascii="仿宋" w:hAnsi="仿宋" w:eastAsia="仿宋" w:cs="仿宋"/>
          <w:bCs/>
          <w:caps/>
          <w:smallCaps w:val="0"/>
          <w:sz w:val="24"/>
          <w:szCs w:val="22"/>
          <w:highlight w:val="none"/>
        </w:rPr>
        <w:fldChar w:fldCharType="separate"/>
      </w:r>
      <w:r>
        <w:rPr>
          <w:rFonts w:hint="eastAsia" w:ascii="Times New Roman" w:hAnsi="Times New Roman" w:eastAsia="方正大标宋简体"/>
          <w:bCs w:val="0"/>
          <w:sz w:val="24"/>
          <w:szCs w:val="18"/>
          <w:lang w:val="en-US" w:eastAsia="zh-CN"/>
        </w:rPr>
        <w:t>2.2</w:t>
      </w:r>
      <w:r>
        <w:rPr>
          <w:rFonts w:hint="eastAsia" w:ascii="Times New Roman" w:hAnsi="Times New Roman"/>
          <w:bCs w:val="0"/>
          <w:sz w:val="24"/>
          <w:szCs w:val="18"/>
          <w:lang w:val="en-US" w:eastAsia="zh-CN"/>
        </w:rPr>
        <w:t>项目可行性</w:t>
      </w:r>
      <w:r>
        <w:rPr>
          <w:sz w:val="24"/>
          <w:szCs w:val="24"/>
        </w:rPr>
        <w:tab/>
      </w:r>
      <w:r>
        <w:rPr>
          <w:sz w:val="24"/>
          <w:szCs w:val="24"/>
        </w:rPr>
        <w:fldChar w:fldCharType="begin"/>
      </w:r>
      <w:r>
        <w:rPr>
          <w:sz w:val="24"/>
          <w:szCs w:val="24"/>
        </w:rPr>
        <w:instrText xml:space="preserve"> PAGEREF _Toc4409 \h </w:instrText>
      </w:r>
      <w:r>
        <w:rPr>
          <w:sz w:val="24"/>
          <w:szCs w:val="24"/>
        </w:rPr>
        <w:fldChar w:fldCharType="separate"/>
      </w:r>
      <w:r>
        <w:rPr>
          <w:sz w:val="24"/>
          <w:szCs w:val="24"/>
        </w:rPr>
        <w:t>10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_Toc23611 </w:instrText>
      </w:r>
      <w:r>
        <w:rPr>
          <w:rFonts w:hint="eastAsia" w:ascii="仿宋" w:hAnsi="仿宋" w:eastAsia="仿宋" w:cs="仿宋"/>
          <w:bCs/>
          <w:caps/>
          <w:smallCaps w:val="0"/>
          <w:sz w:val="24"/>
          <w:szCs w:val="22"/>
          <w:highlight w:val="none"/>
        </w:rPr>
        <w:fldChar w:fldCharType="separate"/>
      </w:r>
      <w:r>
        <w:rPr>
          <w:sz w:val="24"/>
          <w:szCs w:val="24"/>
        </w:rPr>
        <w:t>2.</w:t>
      </w:r>
      <w:r>
        <w:rPr>
          <w:rFonts w:hint="eastAsia"/>
          <w:sz w:val="24"/>
          <w:szCs w:val="24"/>
          <w:lang w:val="en-US" w:eastAsia="zh-CN"/>
        </w:rPr>
        <w:t>3</w:t>
      </w:r>
      <w:r>
        <w:rPr>
          <w:sz w:val="24"/>
          <w:szCs w:val="24"/>
        </w:rPr>
        <w:t>项目建设必要性</w:t>
      </w:r>
      <w:r>
        <w:rPr>
          <w:sz w:val="24"/>
          <w:szCs w:val="24"/>
        </w:rPr>
        <w:tab/>
      </w:r>
      <w:r>
        <w:rPr>
          <w:sz w:val="24"/>
          <w:szCs w:val="24"/>
        </w:rPr>
        <w:fldChar w:fldCharType="begin"/>
      </w:r>
      <w:r>
        <w:rPr>
          <w:sz w:val="24"/>
          <w:szCs w:val="24"/>
        </w:rPr>
        <w:instrText xml:space="preserve"> PAGEREF _Toc23611 \h </w:instrText>
      </w:r>
      <w:r>
        <w:rPr>
          <w:sz w:val="24"/>
          <w:szCs w:val="24"/>
        </w:rPr>
        <w:fldChar w:fldCharType="separate"/>
      </w:r>
      <w:r>
        <w:rPr>
          <w:sz w:val="24"/>
          <w:szCs w:val="24"/>
        </w:rPr>
        <w:t>11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_Toc16533 </w:instrText>
      </w:r>
      <w:r>
        <w:rPr>
          <w:rFonts w:hint="eastAsia" w:ascii="仿宋" w:hAnsi="仿宋" w:eastAsia="仿宋" w:cs="仿宋"/>
          <w:bCs/>
          <w:caps/>
          <w:smallCaps w:val="0"/>
          <w:sz w:val="24"/>
          <w:szCs w:val="22"/>
          <w:highlight w:val="none"/>
        </w:rPr>
        <w:fldChar w:fldCharType="separate"/>
      </w:r>
      <w:r>
        <w:rPr>
          <w:sz w:val="24"/>
          <w:szCs w:val="24"/>
        </w:rPr>
        <w:t xml:space="preserve">第3章 </w:t>
      </w:r>
      <w:r>
        <w:rPr>
          <w:rFonts w:hint="eastAsia"/>
          <w:sz w:val="24"/>
          <w:szCs w:val="24"/>
          <w:highlight w:val="none"/>
        </w:rPr>
        <w:t>市场分析</w:t>
      </w:r>
      <w:r>
        <w:rPr>
          <w:sz w:val="24"/>
          <w:szCs w:val="24"/>
        </w:rPr>
        <w:tab/>
      </w:r>
      <w:r>
        <w:rPr>
          <w:sz w:val="24"/>
          <w:szCs w:val="24"/>
        </w:rPr>
        <w:fldChar w:fldCharType="begin"/>
      </w:r>
      <w:r>
        <w:rPr>
          <w:sz w:val="24"/>
          <w:szCs w:val="24"/>
        </w:rPr>
        <w:instrText xml:space="preserve"> PAGEREF _Toc16533 \h </w:instrText>
      </w:r>
      <w:r>
        <w:rPr>
          <w:sz w:val="24"/>
          <w:szCs w:val="24"/>
        </w:rPr>
        <w:fldChar w:fldCharType="separate"/>
      </w:r>
      <w:r>
        <w:rPr>
          <w:sz w:val="24"/>
          <w:szCs w:val="24"/>
        </w:rPr>
        <w:t>14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_Toc21971 </w:instrText>
      </w:r>
      <w:r>
        <w:rPr>
          <w:rFonts w:hint="eastAsia" w:ascii="仿宋" w:hAnsi="仿宋" w:eastAsia="仿宋" w:cs="仿宋"/>
          <w:bCs/>
          <w:caps/>
          <w:smallCaps w:val="0"/>
          <w:sz w:val="24"/>
          <w:szCs w:val="22"/>
          <w:highlight w:val="none"/>
        </w:rPr>
        <w:fldChar w:fldCharType="separate"/>
      </w:r>
      <w:r>
        <w:rPr>
          <w:rFonts w:hint="eastAsia"/>
          <w:sz w:val="24"/>
          <w:szCs w:val="24"/>
          <w:lang w:val="en-US" w:eastAsia="zh-CN"/>
        </w:rPr>
        <w:t>3.1国内</w:t>
      </w:r>
      <w:r>
        <w:rPr>
          <w:sz w:val="24"/>
          <w:szCs w:val="24"/>
          <w:lang w:val="zh-CN"/>
        </w:rPr>
        <w:t>青稞产品现状</w:t>
      </w:r>
      <w:r>
        <w:rPr>
          <w:sz w:val="24"/>
          <w:szCs w:val="24"/>
        </w:rPr>
        <w:tab/>
      </w:r>
      <w:r>
        <w:rPr>
          <w:sz w:val="24"/>
          <w:szCs w:val="24"/>
        </w:rPr>
        <w:fldChar w:fldCharType="begin"/>
      </w:r>
      <w:r>
        <w:rPr>
          <w:sz w:val="24"/>
          <w:szCs w:val="24"/>
        </w:rPr>
        <w:instrText xml:space="preserve"> PAGEREF _Toc21971 \h </w:instrText>
      </w:r>
      <w:r>
        <w:rPr>
          <w:sz w:val="24"/>
          <w:szCs w:val="24"/>
        </w:rPr>
        <w:fldChar w:fldCharType="separate"/>
      </w:r>
      <w:r>
        <w:rPr>
          <w:sz w:val="24"/>
          <w:szCs w:val="24"/>
        </w:rPr>
        <w:t>14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_Toc22505 </w:instrText>
      </w:r>
      <w:r>
        <w:rPr>
          <w:rFonts w:hint="eastAsia" w:ascii="仿宋" w:hAnsi="仿宋" w:eastAsia="仿宋" w:cs="仿宋"/>
          <w:bCs/>
          <w:caps/>
          <w:smallCaps w:val="0"/>
          <w:sz w:val="24"/>
          <w:szCs w:val="22"/>
          <w:highlight w:val="none"/>
        </w:rPr>
        <w:fldChar w:fldCharType="separate"/>
      </w:r>
      <w:r>
        <w:rPr>
          <w:sz w:val="24"/>
          <w:szCs w:val="24"/>
        </w:rPr>
        <w:t>3.</w:t>
      </w:r>
      <w:r>
        <w:rPr>
          <w:rFonts w:hint="eastAsia"/>
          <w:sz w:val="24"/>
          <w:szCs w:val="24"/>
          <w:lang w:val="en-US" w:eastAsia="zh-CN"/>
        </w:rPr>
        <w:t>2</w:t>
      </w:r>
      <w:r>
        <w:rPr>
          <w:rFonts w:hint="eastAsia"/>
          <w:sz w:val="24"/>
          <w:szCs w:val="24"/>
          <w:lang w:val="zh-CN"/>
        </w:rPr>
        <w:t>青海省青稞产业发展现状分析</w:t>
      </w:r>
      <w:r>
        <w:rPr>
          <w:sz w:val="24"/>
          <w:szCs w:val="24"/>
        </w:rPr>
        <w:tab/>
      </w:r>
      <w:r>
        <w:rPr>
          <w:sz w:val="24"/>
          <w:szCs w:val="24"/>
        </w:rPr>
        <w:fldChar w:fldCharType="begin"/>
      </w:r>
      <w:r>
        <w:rPr>
          <w:sz w:val="24"/>
          <w:szCs w:val="24"/>
        </w:rPr>
        <w:instrText xml:space="preserve"> PAGEREF _Toc22505 \h </w:instrText>
      </w:r>
      <w:r>
        <w:rPr>
          <w:sz w:val="24"/>
          <w:szCs w:val="24"/>
        </w:rPr>
        <w:fldChar w:fldCharType="separate"/>
      </w:r>
      <w:r>
        <w:rPr>
          <w:sz w:val="24"/>
          <w:szCs w:val="24"/>
        </w:rPr>
        <w:t>14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_Toc12838 </w:instrText>
      </w:r>
      <w:r>
        <w:rPr>
          <w:rFonts w:hint="eastAsia" w:ascii="仿宋" w:hAnsi="仿宋" w:eastAsia="仿宋" w:cs="仿宋"/>
          <w:bCs/>
          <w:caps/>
          <w:smallCaps w:val="0"/>
          <w:sz w:val="24"/>
          <w:szCs w:val="22"/>
          <w:highlight w:val="none"/>
        </w:rPr>
        <w:fldChar w:fldCharType="separate"/>
      </w:r>
      <w:r>
        <w:rPr>
          <w:sz w:val="24"/>
          <w:szCs w:val="24"/>
        </w:rPr>
        <w:t>3.</w:t>
      </w:r>
      <w:r>
        <w:rPr>
          <w:rFonts w:hint="eastAsia"/>
          <w:sz w:val="24"/>
          <w:szCs w:val="24"/>
          <w:lang w:val="en-US" w:eastAsia="zh-CN"/>
        </w:rPr>
        <w:t>3</w:t>
      </w:r>
      <w:r>
        <w:rPr>
          <w:sz w:val="24"/>
          <w:szCs w:val="24"/>
        </w:rPr>
        <w:t>市场前景分析</w:t>
      </w:r>
      <w:r>
        <w:rPr>
          <w:sz w:val="24"/>
          <w:szCs w:val="24"/>
        </w:rPr>
        <w:tab/>
      </w:r>
      <w:r>
        <w:rPr>
          <w:sz w:val="24"/>
          <w:szCs w:val="24"/>
        </w:rPr>
        <w:fldChar w:fldCharType="begin"/>
      </w:r>
      <w:r>
        <w:rPr>
          <w:sz w:val="24"/>
          <w:szCs w:val="24"/>
        </w:rPr>
        <w:instrText xml:space="preserve"> PAGEREF _Toc12838 \h </w:instrText>
      </w:r>
      <w:r>
        <w:rPr>
          <w:sz w:val="24"/>
          <w:szCs w:val="24"/>
        </w:rPr>
        <w:fldChar w:fldCharType="separate"/>
      </w:r>
      <w:r>
        <w:rPr>
          <w:sz w:val="24"/>
          <w:szCs w:val="24"/>
        </w:rPr>
        <w:t>15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_Toc20517 </w:instrText>
      </w:r>
      <w:r>
        <w:rPr>
          <w:rFonts w:hint="eastAsia" w:ascii="仿宋" w:hAnsi="仿宋" w:eastAsia="仿宋" w:cs="仿宋"/>
          <w:bCs/>
          <w:caps/>
          <w:smallCaps w:val="0"/>
          <w:sz w:val="24"/>
          <w:szCs w:val="22"/>
          <w:highlight w:val="none"/>
        </w:rPr>
        <w:fldChar w:fldCharType="separate"/>
      </w:r>
      <w:r>
        <w:rPr>
          <w:sz w:val="24"/>
          <w:szCs w:val="24"/>
        </w:rPr>
        <w:t>3.</w:t>
      </w:r>
      <w:r>
        <w:rPr>
          <w:rFonts w:hint="eastAsia"/>
          <w:sz w:val="24"/>
          <w:szCs w:val="24"/>
          <w:lang w:val="en-US" w:eastAsia="zh-CN"/>
        </w:rPr>
        <w:t>4</w:t>
      </w:r>
      <w:r>
        <w:rPr>
          <w:sz w:val="24"/>
          <w:szCs w:val="24"/>
        </w:rPr>
        <w:t>产品目标市场定位</w:t>
      </w:r>
      <w:r>
        <w:rPr>
          <w:sz w:val="24"/>
          <w:szCs w:val="24"/>
        </w:rPr>
        <w:tab/>
      </w:r>
      <w:r>
        <w:rPr>
          <w:sz w:val="24"/>
          <w:szCs w:val="24"/>
        </w:rPr>
        <w:fldChar w:fldCharType="begin"/>
      </w:r>
      <w:r>
        <w:rPr>
          <w:sz w:val="24"/>
          <w:szCs w:val="24"/>
        </w:rPr>
        <w:instrText xml:space="preserve"> PAGEREF _Toc20517 \h </w:instrText>
      </w:r>
      <w:r>
        <w:rPr>
          <w:sz w:val="24"/>
          <w:szCs w:val="24"/>
        </w:rPr>
        <w:fldChar w:fldCharType="separate"/>
      </w:r>
      <w:r>
        <w:rPr>
          <w:sz w:val="24"/>
          <w:szCs w:val="24"/>
        </w:rPr>
        <w:t>16</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_Toc17780 </w:instrText>
      </w:r>
      <w:r>
        <w:rPr>
          <w:rFonts w:hint="eastAsia" w:ascii="仿宋" w:hAnsi="仿宋" w:eastAsia="仿宋" w:cs="仿宋"/>
          <w:bCs/>
          <w:caps/>
          <w:smallCaps w:val="0"/>
          <w:sz w:val="24"/>
          <w:szCs w:val="22"/>
          <w:highlight w:val="none"/>
        </w:rPr>
        <w:fldChar w:fldCharType="separate"/>
      </w:r>
      <w:r>
        <w:rPr>
          <w:sz w:val="24"/>
          <w:szCs w:val="24"/>
        </w:rPr>
        <w:t>3.</w:t>
      </w:r>
      <w:r>
        <w:rPr>
          <w:rFonts w:hint="eastAsia"/>
          <w:sz w:val="24"/>
          <w:szCs w:val="24"/>
          <w:lang w:val="en-US" w:eastAsia="zh-CN"/>
        </w:rPr>
        <w:t>5</w:t>
      </w:r>
      <w:r>
        <w:rPr>
          <w:sz w:val="24"/>
          <w:szCs w:val="24"/>
        </w:rPr>
        <w:t>营销策略</w:t>
      </w:r>
      <w:r>
        <w:rPr>
          <w:sz w:val="24"/>
          <w:szCs w:val="24"/>
        </w:rPr>
        <w:tab/>
      </w:r>
      <w:r>
        <w:rPr>
          <w:sz w:val="24"/>
          <w:szCs w:val="24"/>
        </w:rPr>
        <w:fldChar w:fldCharType="begin"/>
      </w:r>
      <w:r>
        <w:rPr>
          <w:sz w:val="24"/>
          <w:szCs w:val="24"/>
        </w:rPr>
        <w:instrText xml:space="preserve"> PAGEREF _Toc17780 \h </w:instrText>
      </w:r>
      <w:r>
        <w:rPr>
          <w:sz w:val="24"/>
          <w:szCs w:val="24"/>
        </w:rPr>
        <w:fldChar w:fldCharType="separate"/>
      </w:r>
      <w:r>
        <w:rPr>
          <w:sz w:val="24"/>
          <w:szCs w:val="24"/>
        </w:rPr>
        <w:t>17</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_Toc14163 </w:instrText>
      </w:r>
      <w:r>
        <w:rPr>
          <w:rFonts w:hint="eastAsia" w:ascii="仿宋" w:hAnsi="仿宋" w:eastAsia="仿宋" w:cs="仿宋"/>
          <w:bCs/>
          <w:caps/>
          <w:smallCaps w:val="0"/>
          <w:sz w:val="24"/>
          <w:szCs w:val="22"/>
          <w:highlight w:val="none"/>
        </w:rPr>
        <w:fldChar w:fldCharType="separate"/>
      </w:r>
      <w:r>
        <w:rPr>
          <w:sz w:val="24"/>
          <w:szCs w:val="24"/>
          <w:highlight w:val="none"/>
        </w:rPr>
        <w:t>第</w:t>
      </w:r>
      <w:r>
        <w:rPr>
          <w:rFonts w:hint="eastAsia"/>
          <w:sz w:val="24"/>
          <w:szCs w:val="24"/>
          <w:highlight w:val="none"/>
        </w:rPr>
        <w:t>4</w:t>
      </w:r>
      <w:r>
        <w:rPr>
          <w:sz w:val="24"/>
          <w:szCs w:val="24"/>
          <w:highlight w:val="none"/>
        </w:rPr>
        <w:t>章  建设条件</w:t>
      </w:r>
      <w:r>
        <w:rPr>
          <w:sz w:val="24"/>
          <w:szCs w:val="24"/>
        </w:rPr>
        <w:tab/>
      </w:r>
      <w:r>
        <w:rPr>
          <w:sz w:val="24"/>
          <w:szCs w:val="24"/>
        </w:rPr>
        <w:fldChar w:fldCharType="begin"/>
      </w:r>
      <w:r>
        <w:rPr>
          <w:sz w:val="24"/>
          <w:szCs w:val="24"/>
        </w:rPr>
        <w:instrText xml:space="preserve"> PAGEREF _Toc14163 \h </w:instrText>
      </w:r>
      <w:r>
        <w:rPr>
          <w:sz w:val="24"/>
          <w:szCs w:val="24"/>
        </w:rPr>
        <w:fldChar w:fldCharType="separate"/>
      </w:r>
      <w:r>
        <w:rPr>
          <w:sz w:val="24"/>
          <w:szCs w:val="24"/>
        </w:rPr>
        <w:t>19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_Toc27970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4</w:t>
      </w:r>
      <w:r>
        <w:rPr>
          <w:sz w:val="24"/>
          <w:szCs w:val="24"/>
          <w:highlight w:val="none"/>
        </w:rPr>
        <w:t>.1建设地点</w:t>
      </w:r>
      <w:r>
        <w:rPr>
          <w:sz w:val="24"/>
          <w:szCs w:val="24"/>
        </w:rPr>
        <w:tab/>
      </w:r>
      <w:r>
        <w:rPr>
          <w:sz w:val="24"/>
          <w:szCs w:val="24"/>
        </w:rPr>
        <w:fldChar w:fldCharType="begin"/>
      </w:r>
      <w:r>
        <w:rPr>
          <w:sz w:val="24"/>
          <w:szCs w:val="24"/>
        </w:rPr>
        <w:instrText xml:space="preserve"> PAGEREF _Toc27970 \h </w:instrText>
      </w:r>
      <w:r>
        <w:rPr>
          <w:sz w:val="24"/>
          <w:szCs w:val="24"/>
        </w:rPr>
        <w:fldChar w:fldCharType="separate"/>
      </w:r>
      <w:r>
        <w:rPr>
          <w:sz w:val="24"/>
          <w:szCs w:val="24"/>
        </w:rPr>
        <w:t>19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_Toc26109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4</w:t>
      </w:r>
      <w:r>
        <w:rPr>
          <w:sz w:val="24"/>
          <w:szCs w:val="24"/>
          <w:highlight w:val="none"/>
        </w:rPr>
        <w:t>.2项目建设条件</w:t>
      </w:r>
      <w:r>
        <w:rPr>
          <w:sz w:val="24"/>
          <w:szCs w:val="24"/>
        </w:rPr>
        <w:tab/>
      </w:r>
      <w:r>
        <w:rPr>
          <w:sz w:val="24"/>
          <w:szCs w:val="24"/>
        </w:rPr>
        <w:fldChar w:fldCharType="begin"/>
      </w:r>
      <w:r>
        <w:rPr>
          <w:sz w:val="24"/>
          <w:szCs w:val="24"/>
        </w:rPr>
        <w:instrText xml:space="preserve"> PAGEREF _Toc26109 \h </w:instrText>
      </w:r>
      <w:r>
        <w:rPr>
          <w:sz w:val="24"/>
          <w:szCs w:val="24"/>
        </w:rPr>
        <w:fldChar w:fldCharType="separate"/>
      </w:r>
      <w:r>
        <w:rPr>
          <w:sz w:val="24"/>
          <w:szCs w:val="24"/>
        </w:rPr>
        <w:t>19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_Toc13479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4</w:t>
      </w:r>
      <w:r>
        <w:rPr>
          <w:sz w:val="24"/>
          <w:szCs w:val="24"/>
          <w:highlight w:val="none"/>
        </w:rPr>
        <w:t>.</w:t>
      </w:r>
      <w:r>
        <w:rPr>
          <w:rFonts w:hint="eastAsia"/>
          <w:sz w:val="24"/>
          <w:szCs w:val="24"/>
          <w:highlight w:val="none"/>
          <w:lang w:val="en-US" w:eastAsia="zh-CN"/>
        </w:rPr>
        <w:t>3</w:t>
      </w:r>
      <w:r>
        <w:rPr>
          <w:sz w:val="24"/>
          <w:szCs w:val="24"/>
          <w:highlight w:val="none"/>
        </w:rPr>
        <w:t>外部配套条件</w:t>
      </w:r>
      <w:r>
        <w:rPr>
          <w:sz w:val="24"/>
          <w:szCs w:val="24"/>
        </w:rPr>
        <w:tab/>
      </w:r>
      <w:r>
        <w:rPr>
          <w:sz w:val="24"/>
          <w:szCs w:val="24"/>
        </w:rPr>
        <w:fldChar w:fldCharType="begin"/>
      </w:r>
      <w:r>
        <w:rPr>
          <w:sz w:val="24"/>
          <w:szCs w:val="24"/>
        </w:rPr>
        <w:instrText xml:space="preserve"> PAGEREF _Toc13479 \h </w:instrText>
      </w:r>
      <w:r>
        <w:rPr>
          <w:sz w:val="24"/>
          <w:szCs w:val="24"/>
        </w:rPr>
        <w:fldChar w:fldCharType="separate"/>
      </w:r>
      <w:r>
        <w:rPr>
          <w:sz w:val="24"/>
          <w:szCs w:val="24"/>
        </w:rPr>
        <w:t>20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_Toc17612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4.</w:t>
      </w:r>
      <w:r>
        <w:rPr>
          <w:rFonts w:hint="eastAsia"/>
          <w:sz w:val="24"/>
          <w:szCs w:val="24"/>
          <w:highlight w:val="none"/>
          <w:lang w:val="en-US" w:eastAsia="zh-CN"/>
        </w:rPr>
        <w:t>4</w:t>
      </w:r>
      <w:r>
        <w:rPr>
          <w:sz w:val="24"/>
          <w:szCs w:val="24"/>
          <w:highlight w:val="none"/>
        </w:rPr>
        <w:t>经济社会条件</w:t>
      </w:r>
      <w:r>
        <w:rPr>
          <w:sz w:val="24"/>
          <w:szCs w:val="24"/>
        </w:rPr>
        <w:tab/>
      </w:r>
      <w:r>
        <w:rPr>
          <w:sz w:val="24"/>
          <w:szCs w:val="24"/>
        </w:rPr>
        <w:fldChar w:fldCharType="begin"/>
      </w:r>
      <w:r>
        <w:rPr>
          <w:sz w:val="24"/>
          <w:szCs w:val="24"/>
        </w:rPr>
        <w:instrText xml:space="preserve"> PAGEREF _Toc17612 \h </w:instrText>
      </w:r>
      <w:r>
        <w:rPr>
          <w:sz w:val="24"/>
          <w:szCs w:val="24"/>
        </w:rPr>
        <w:fldChar w:fldCharType="separate"/>
      </w:r>
      <w:r>
        <w:rPr>
          <w:sz w:val="24"/>
          <w:szCs w:val="24"/>
        </w:rPr>
        <w:t>21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_Toc27622 </w:instrText>
      </w:r>
      <w:r>
        <w:rPr>
          <w:rFonts w:hint="eastAsia" w:ascii="仿宋" w:hAnsi="仿宋" w:eastAsia="仿宋" w:cs="仿宋"/>
          <w:bCs/>
          <w:caps/>
          <w:smallCaps w:val="0"/>
          <w:sz w:val="24"/>
          <w:szCs w:val="22"/>
          <w:highlight w:val="none"/>
        </w:rPr>
        <w:fldChar w:fldCharType="separate"/>
      </w:r>
      <w:r>
        <w:rPr>
          <w:sz w:val="24"/>
          <w:szCs w:val="24"/>
          <w:highlight w:val="none"/>
        </w:rPr>
        <w:t>第</w:t>
      </w:r>
      <w:r>
        <w:rPr>
          <w:rFonts w:hint="eastAsia"/>
          <w:sz w:val="24"/>
          <w:szCs w:val="24"/>
          <w:highlight w:val="none"/>
        </w:rPr>
        <w:t>5</w:t>
      </w:r>
      <w:r>
        <w:rPr>
          <w:sz w:val="24"/>
          <w:szCs w:val="24"/>
          <w:highlight w:val="none"/>
        </w:rPr>
        <w:t xml:space="preserve">章  </w:t>
      </w:r>
      <w:r>
        <w:rPr>
          <w:rFonts w:hint="eastAsia"/>
          <w:sz w:val="24"/>
          <w:szCs w:val="24"/>
          <w:highlight w:val="none"/>
        </w:rPr>
        <w:t>建设</w:t>
      </w:r>
      <w:r>
        <w:rPr>
          <w:sz w:val="24"/>
          <w:szCs w:val="24"/>
          <w:highlight w:val="none"/>
        </w:rPr>
        <w:t>规模及内容</w:t>
      </w:r>
      <w:r>
        <w:rPr>
          <w:sz w:val="24"/>
          <w:szCs w:val="24"/>
        </w:rPr>
        <w:tab/>
      </w:r>
      <w:r>
        <w:rPr>
          <w:sz w:val="24"/>
          <w:szCs w:val="24"/>
        </w:rPr>
        <w:fldChar w:fldCharType="begin"/>
      </w:r>
      <w:r>
        <w:rPr>
          <w:sz w:val="24"/>
          <w:szCs w:val="24"/>
        </w:rPr>
        <w:instrText xml:space="preserve"> PAGEREF _Toc27622 \h </w:instrText>
      </w:r>
      <w:r>
        <w:rPr>
          <w:sz w:val="24"/>
          <w:szCs w:val="24"/>
        </w:rPr>
        <w:fldChar w:fldCharType="separate"/>
      </w:r>
      <w:r>
        <w:rPr>
          <w:sz w:val="24"/>
          <w:szCs w:val="24"/>
        </w:rPr>
        <w:t>22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_Toc19498 </w:instrText>
      </w:r>
      <w:r>
        <w:rPr>
          <w:rFonts w:hint="eastAsia" w:ascii="仿宋" w:hAnsi="仿宋" w:eastAsia="仿宋" w:cs="仿宋"/>
          <w:bCs/>
          <w:caps/>
          <w:smallCaps w:val="0"/>
          <w:sz w:val="24"/>
          <w:szCs w:val="22"/>
          <w:highlight w:val="none"/>
        </w:rPr>
        <w:fldChar w:fldCharType="separate"/>
      </w:r>
      <w:r>
        <w:rPr>
          <w:rFonts w:hint="eastAsia"/>
          <w:sz w:val="24"/>
          <w:szCs w:val="24"/>
        </w:rPr>
        <w:t>5.1生产规模</w:t>
      </w:r>
      <w:r>
        <w:rPr>
          <w:rFonts w:hint="eastAsia"/>
          <w:sz w:val="24"/>
          <w:szCs w:val="24"/>
          <w:lang w:eastAsia="zh-CN"/>
        </w:rPr>
        <w:t>与产品方案</w:t>
      </w:r>
      <w:r>
        <w:rPr>
          <w:sz w:val="24"/>
          <w:szCs w:val="24"/>
        </w:rPr>
        <w:tab/>
      </w:r>
      <w:r>
        <w:rPr>
          <w:sz w:val="24"/>
          <w:szCs w:val="24"/>
        </w:rPr>
        <w:fldChar w:fldCharType="begin"/>
      </w:r>
      <w:r>
        <w:rPr>
          <w:sz w:val="24"/>
          <w:szCs w:val="24"/>
        </w:rPr>
        <w:instrText xml:space="preserve"> PAGEREF _Toc19498 \h </w:instrText>
      </w:r>
      <w:r>
        <w:rPr>
          <w:sz w:val="24"/>
          <w:szCs w:val="24"/>
        </w:rPr>
        <w:fldChar w:fldCharType="separate"/>
      </w:r>
      <w:r>
        <w:rPr>
          <w:sz w:val="24"/>
          <w:szCs w:val="24"/>
        </w:rPr>
        <w:t>22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_Toc22034 </w:instrText>
      </w:r>
      <w:r>
        <w:rPr>
          <w:rFonts w:hint="eastAsia" w:ascii="仿宋" w:hAnsi="仿宋" w:eastAsia="仿宋" w:cs="仿宋"/>
          <w:bCs/>
          <w:caps/>
          <w:smallCaps w:val="0"/>
          <w:sz w:val="24"/>
          <w:szCs w:val="22"/>
          <w:highlight w:val="none"/>
        </w:rPr>
        <w:fldChar w:fldCharType="separate"/>
      </w:r>
      <w:r>
        <w:rPr>
          <w:rFonts w:hint="eastAsia"/>
          <w:sz w:val="24"/>
          <w:szCs w:val="24"/>
        </w:rPr>
        <w:t>5.2</w:t>
      </w:r>
      <w:r>
        <w:rPr>
          <w:rFonts w:hint="eastAsia"/>
          <w:sz w:val="24"/>
          <w:szCs w:val="24"/>
          <w:lang w:eastAsia="zh-CN"/>
        </w:rPr>
        <w:t>土建</w:t>
      </w:r>
      <w:r>
        <w:rPr>
          <w:rFonts w:hint="eastAsia"/>
          <w:sz w:val="24"/>
          <w:szCs w:val="24"/>
        </w:rPr>
        <w:t>规模</w:t>
      </w:r>
      <w:r>
        <w:rPr>
          <w:sz w:val="24"/>
          <w:szCs w:val="24"/>
        </w:rPr>
        <w:tab/>
      </w:r>
      <w:r>
        <w:rPr>
          <w:sz w:val="24"/>
          <w:szCs w:val="24"/>
        </w:rPr>
        <w:fldChar w:fldCharType="begin"/>
      </w:r>
      <w:r>
        <w:rPr>
          <w:sz w:val="24"/>
          <w:szCs w:val="24"/>
        </w:rPr>
        <w:instrText xml:space="preserve"> PAGEREF _Toc22034 \h </w:instrText>
      </w:r>
      <w:r>
        <w:rPr>
          <w:sz w:val="24"/>
          <w:szCs w:val="24"/>
        </w:rPr>
        <w:fldChar w:fldCharType="separate"/>
      </w:r>
      <w:r>
        <w:rPr>
          <w:sz w:val="24"/>
          <w:szCs w:val="24"/>
        </w:rPr>
        <w:t>22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_Toc30191 </w:instrText>
      </w:r>
      <w:r>
        <w:rPr>
          <w:rFonts w:hint="eastAsia" w:ascii="仿宋" w:hAnsi="仿宋" w:eastAsia="仿宋" w:cs="仿宋"/>
          <w:bCs/>
          <w:caps/>
          <w:smallCaps w:val="0"/>
          <w:sz w:val="24"/>
          <w:szCs w:val="22"/>
          <w:highlight w:val="none"/>
        </w:rPr>
        <w:fldChar w:fldCharType="separate"/>
      </w:r>
      <w:r>
        <w:rPr>
          <w:rFonts w:hint="eastAsia"/>
          <w:sz w:val="24"/>
          <w:szCs w:val="24"/>
          <w:lang w:val="en-US" w:eastAsia="zh-CN"/>
        </w:rPr>
        <w:t>5.3设备规模</w:t>
      </w:r>
      <w:r>
        <w:rPr>
          <w:sz w:val="24"/>
          <w:szCs w:val="24"/>
        </w:rPr>
        <w:tab/>
      </w:r>
      <w:r>
        <w:rPr>
          <w:sz w:val="24"/>
          <w:szCs w:val="24"/>
        </w:rPr>
        <w:fldChar w:fldCharType="begin"/>
      </w:r>
      <w:r>
        <w:rPr>
          <w:sz w:val="24"/>
          <w:szCs w:val="24"/>
        </w:rPr>
        <w:instrText xml:space="preserve"> PAGEREF _Toc30191 \h </w:instrText>
      </w:r>
      <w:r>
        <w:rPr>
          <w:sz w:val="24"/>
          <w:szCs w:val="24"/>
        </w:rPr>
        <w:fldChar w:fldCharType="separate"/>
      </w:r>
      <w:r>
        <w:rPr>
          <w:sz w:val="24"/>
          <w:szCs w:val="24"/>
        </w:rPr>
        <w:t>22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_Toc25737 </w:instrText>
      </w:r>
      <w:r>
        <w:rPr>
          <w:rFonts w:hint="eastAsia" w:ascii="仿宋" w:hAnsi="仿宋" w:eastAsia="仿宋" w:cs="仿宋"/>
          <w:bCs/>
          <w:caps/>
          <w:smallCaps w:val="0"/>
          <w:sz w:val="24"/>
          <w:szCs w:val="22"/>
          <w:highlight w:val="none"/>
        </w:rPr>
        <w:fldChar w:fldCharType="separate"/>
      </w:r>
      <w:r>
        <w:rPr>
          <w:sz w:val="24"/>
          <w:szCs w:val="24"/>
        </w:rPr>
        <w:t xml:space="preserve">第6章 </w:t>
      </w:r>
      <w:r>
        <w:rPr>
          <w:rFonts w:hint="eastAsia"/>
          <w:sz w:val="24"/>
          <w:szCs w:val="24"/>
          <w:highlight w:val="none"/>
        </w:rPr>
        <w:t>技术方案、设备方案及工程方案</w:t>
      </w:r>
      <w:r>
        <w:rPr>
          <w:sz w:val="24"/>
          <w:szCs w:val="24"/>
        </w:rPr>
        <w:tab/>
      </w:r>
      <w:r>
        <w:rPr>
          <w:sz w:val="24"/>
          <w:szCs w:val="24"/>
        </w:rPr>
        <w:fldChar w:fldCharType="begin"/>
      </w:r>
      <w:r>
        <w:rPr>
          <w:sz w:val="24"/>
          <w:szCs w:val="24"/>
        </w:rPr>
        <w:instrText xml:space="preserve"> PAGEREF _Toc25737 \h </w:instrText>
      </w:r>
      <w:r>
        <w:rPr>
          <w:sz w:val="24"/>
          <w:szCs w:val="24"/>
        </w:rPr>
        <w:fldChar w:fldCharType="separate"/>
      </w:r>
      <w:r>
        <w:rPr>
          <w:sz w:val="24"/>
          <w:szCs w:val="24"/>
        </w:rPr>
        <w:t>24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_Toc22871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6.</w:t>
      </w:r>
      <w:r>
        <w:rPr>
          <w:rFonts w:hint="eastAsia"/>
          <w:sz w:val="24"/>
          <w:szCs w:val="24"/>
          <w:highlight w:val="none"/>
          <w:lang w:val="en-US" w:eastAsia="zh-CN"/>
        </w:rPr>
        <w:t>1</w:t>
      </w:r>
      <w:r>
        <w:rPr>
          <w:rFonts w:hint="eastAsia"/>
          <w:sz w:val="24"/>
          <w:szCs w:val="24"/>
          <w:highlight w:val="none"/>
        </w:rPr>
        <w:t>技术方案</w:t>
      </w:r>
      <w:r>
        <w:rPr>
          <w:sz w:val="24"/>
          <w:szCs w:val="24"/>
        </w:rPr>
        <w:tab/>
      </w:r>
      <w:r>
        <w:rPr>
          <w:sz w:val="24"/>
          <w:szCs w:val="24"/>
        </w:rPr>
        <w:fldChar w:fldCharType="begin"/>
      </w:r>
      <w:r>
        <w:rPr>
          <w:sz w:val="24"/>
          <w:szCs w:val="24"/>
        </w:rPr>
        <w:instrText xml:space="preserve"> PAGEREF _Toc22871 \h </w:instrText>
      </w:r>
      <w:r>
        <w:rPr>
          <w:sz w:val="24"/>
          <w:szCs w:val="24"/>
        </w:rPr>
        <w:fldChar w:fldCharType="separate"/>
      </w:r>
      <w:r>
        <w:rPr>
          <w:sz w:val="24"/>
          <w:szCs w:val="24"/>
        </w:rPr>
        <w:t>24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_Toc30600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6.</w:t>
      </w:r>
      <w:r>
        <w:rPr>
          <w:rFonts w:hint="eastAsia"/>
          <w:sz w:val="24"/>
          <w:szCs w:val="24"/>
          <w:highlight w:val="none"/>
          <w:lang w:val="en-US" w:eastAsia="zh-CN"/>
        </w:rPr>
        <w:t>2</w:t>
      </w:r>
      <w:r>
        <w:rPr>
          <w:rFonts w:hint="eastAsia"/>
          <w:sz w:val="24"/>
          <w:szCs w:val="24"/>
          <w:highlight w:val="none"/>
        </w:rPr>
        <w:t>设备方案</w:t>
      </w:r>
      <w:r>
        <w:rPr>
          <w:sz w:val="24"/>
          <w:szCs w:val="24"/>
        </w:rPr>
        <w:tab/>
      </w:r>
      <w:r>
        <w:rPr>
          <w:sz w:val="24"/>
          <w:szCs w:val="24"/>
        </w:rPr>
        <w:fldChar w:fldCharType="begin"/>
      </w:r>
      <w:r>
        <w:rPr>
          <w:sz w:val="24"/>
          <w:szCs w:val="24"/>
        </w:rPr>
        <w:instrText xml:space="preserve"> PAGEREF _Toc30600 \h </w:instrText>
      </w:r>
      <w:r>
        <w:rPr>
          <w:sz w:val="24"/>
          <w:szCs w:val="24"/>
        </w:rPr>
        <w:fldChar w:fldCharType="separate"/>
      </w:r>
      <w:r>
        <w:rPr>
          <w:sz w:val="24"/>
          <w:szCs w:val="24"/>
        </w:rPr>
        <w:t>31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_Toc11226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6.</w:t>
      </w:r>
      <w:r>
        <w:rPr>
          <w:rFonts w:hint="eastAsia"/>
          <w:sz w:val="24"/>
          <w:szCs w:val="24"/>
          <w:highlight w:val="none"/>
          <w:lang w:val="en-US" w:eastAsia="zh-CN"/>
        </w:rPr>
        <w:t>3</w:t>
      </w:r>
      <w:r>
        <w:rPr>
          <w:rFonts w:hint="eastAsia"/>
          <w:sz w:val="24"/>
          <w:szCs w:val="24"/>
          <w:highlight w:val="none"/>
        </w:rPr>
        <w:t>工程方案</w:t>
      </w:r>
      <w:r>
        <w:rPr>
          <w:sz w:val="24"/>
          <w:szCs w:val="24"/>
        </w:rPr>
        <w:tab/>
      </w:r>
      <w:r>
        <w:rPr>
          <w:sz w:val="24"/>
          <w:szCs w:val="24"/>
        </w:rPr>
        <w:fldChar w:fldCharType="begin"/>
      </w:r>
      <w:r>
        <w:rPr>
          <w:sz w:val="24"/>
          <w:szCs w:val="24"/>
        </w:rPr>
        <w:instrText xml:space="preserve"> PAGEREF _Toc11226 \h </w:instrText>
      </w:r>
      <w:r>
        <w:rPr>
          <w:sz w:val="24"/>
          <w:szCs w:val="24"/>
        </w:rPr>
        <w:fldChar w:fldCharType="separate"/>
      </w:r>
      <w:r>
        <w:rPr>
          <w:sz w:val="24"/>
          <w:szCs w:val="24"/>
        </w:rPr>
        <w:t>37</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_Toc5160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 xml:space="preserve">第7章 </w:t>
      </w:r>
      <w:r>
        <w:rPr>
          <w:rFonts w:hint="eastAsia"/>
          <w:sz w:val="24"/>
          <w:szCs w:val="24"/>
          <w:highlight w:val="none"/>
          <w:lang w:val="en-US" w:eastAsia="zh-CN"/>
        </w:rPr>
        <w:t xml:space="preserve"> </w:t>
      </w:r>
      <w:r>
        <w:rPr>
          <w:rFonts w:hint="eastAsia"/>
          <w:sz w:val="24"/>
          <w:szCs w:val="24"/>
          <w:highlight w:val="none"/>
        </w:rPr>
        <w:t>主要原辅材料、燃料供应</w:t>
      </w:r>
      <w:r>
        <w:rPr>
          <w:sz w:val="24"/>
          <w:szCs w:val="24"/>
        </w:rPr>
        <w:tab/>
      </w:r>
      <w:r>
        <w:rPr>
          <w:sz w:val="24"/>
          <w:szCs w:val="24"/>
        </w:rPr>
        <w:fldChar w:fldCharType="begin"/>
      </w:r>
      <w:r>
        <w:rPr>
          <w:sz w:val="24"/>
          <w:szCs w:val="24"/>
        </w:rPr>
        <w:instrText xml:space="preserve"> PAGEREF _Toc5160 \h </w:instrText>
      </w:r>
      <w:r>
        <w:rPr>
          <w:sz w:val="24"/>
          <w:szCs w:val="24"/>
        </w:rPr>
        <w:fldChar w:fldCharType="separate"/>
      </w:r>
      <w:r>
        <w:rPr>
          <w:sz w:val="24"/>
          <w:szCs w:val="24"/>
        </w:rPr>
        <w:t>81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_Toc30110 </w:instrText>
      </w:r>
      <w:r>
        <w:rPr>
          <w:rFonts w:hint="eastAsia" w:ascii="仿宋" w:hAnsi="仿宋" w:eastAsia="仿宋" w:cs="仿宋"/>
          <w:bCs/>
          <w:caps/>
          <w:smallCaps w:val="0"/>
          <w:sz w:val="24"/>
          <w:szCs w:val="22"/>
          <w:highlight w:val="none"/>
        </w:rPr>
        <w:fldChar w:fldCharType="separate"/>
      </w:r>
      <w:r>
        <w:rPr>
          <w:rFonts w:hint="eastAsia"/>
          <w:sz w:val="24"/>
          <w:szCs w:val="24"/>
        </w:rPr>
        <w:t>7.1主要原材料供应</w:t>
      </w:r>
      <w:r>
        <w:rPr>
          <w:sz w:val="24"/>
          <w:szCs w:val="24"/>
        </w:rPr>
        <w:tab/>
      </w:r>
      <w:r>
        <w:rPr>
          <w:sz w:val="24"/>
          <w:szCs w:val="24"/>
        </w:rPr>
        <w:fldChar w:fldCharType="begin"/>
      </w:r>
      <w:r>
        <w:rPr>
          <w:sz w:val="24"/>
          <w:szCs w:val="24"/>
        </w:rPr>
        <w:instrText xml:space="preserve"> PAGEREF _Toc30110 \h </w:instrText>
      </w:r>
      <w:r>
        <w:rPr>
          <w:sz w:val="24"/>
          <w:szCs w:val="24"/>
        </w:rPr>
        <w:fldChar w:fldCharType="separate"/>
      </w:r>
      <w:r>
        <w:rPr>
          <w:sz w:val="24"/>
          <w:szCs w:val="24"/>
        </w:rPr>
        <w:t>81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_Toc17288 </w:instrText>
      </w:r>
      <w:r>
        <w:rPr>
          <w:rFonts w:hint="eastAsia" w:ascii="仿宋" w:hAnsi="仿宋" w:eastAsia="仿宋" w:cs="仿宋"/>
          <w:bCs/>
          <w:caps/>
          <w:smallCaps w:val="0"/>
          <w:sz w:val="24"/>
          <w:szCs w:val="22"/>
          <w:highlight w:val="none"/>
        </w:rPr>
        <w:fldChar w:fldCharType="separate"/>
      </w:r>
      <w:r>
        <w:rPr>
          <w:sz w:val="24"/>
          <w:szCs w:val="24"/>
        </w:rPr>
        <w:t>7.2燃料及动力供应方案</w:t>
      </w:r>
      <w:r>
        <w:rPr>
          <w:sz w:val="24"/>
          <w:szCs w:val="24"/>
        </w:rPr>
        <w:tab/>
      </w:r>
      <w:r>
        <w:rPr>
          <w:sz w:val="24"/>
          <w:szCs w:val="24"/>
        </w:rPr>
        <w:fldChar w:fldCharType="begin"/>
      </w:r>
      <w:r>
        <w:rPr>
          <w:sz w:val="24"/>
          <w:szCs w:val="24"/>
        </w:rPr>
        <w:instrText xml:space="preserve"> PAGEREF _Toc17288 \h </w:instrText>
      </w:r>
      <w:r>
        <w:rPr>
          <w:sz w:val="24"/>
          <w:szCs w:val="24"/>
        </w:rPr>
        <w:fldChar w:fldCharType="separate"/>
      </w:r>
      <w:r>
        <w:rPr>
          <w:sz w:val="24"/>
          <w:szCs w:val="24"/>
        </w:rPr>
        <w:t>82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_Toc32410 </w:instrText>
      </w:r>
      <w:r>
        <w:rPr>
          <w:rFonts w:hint="eastAsia" w:ascii="仿宋" w:hAnsi="仿宋" w:eastAsia="仿宋" w:cs="仿宋"/>
          <w:bCs/>
          <w:caps/>
          <w:smallCaps w:val="0"/>
          <w:sz w:val="24"/>
          <w:szCs w:val="22"/>
          <w:highlight w:val="none"/>
        </w:rPr>
        <w:fldChar w:fldCharType="separate"/>
      </w:r>
      <w:r>
        <w:rPr>
          <w:sz w:val="24"/>
          <w:szCs w:val="24"/>
        </w:rPr>
        <w:t>7.3主要原材料价格</w:t>
      </w:r>
      <w:r>
        <w:rPr>
          <w:sz w:val="24"/>
          <w:szCs w:val="24"/>
        </w:rPr>
        <w:tab/>
      </w:r>
      <w:r>
        <w:rPr>
          <w:sz w:val="24"/>
          <w:szCs w:val="24"/>
        </w:rPr>
        <w:fldChar w:fldCharType="begin"/>
      </w:r>
      <w:r>
        <w:rPr>
          <w:sz w:val="24"/>
          <w:szCs w:val="24"/>
        </w:rPr>
        <w:instrText xml:space="preserve"> PAGEREF _Toc32410 \h </w:instrText>
      </w:r>
      <w:r>
        <w:rPr>
          <w:sz w:val="24"/>
          <w:szCs w:val="24"/>
        </w:rPr>
        <w:fldChar w:fldCharType="separate"/>
      </w:r>
      <w:r>
        <w:rPr>
          <w:sz w:val="24"/>
          <w:szCs w:val="24"/>
        </w:rPr>
        <w:t>83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_Toc11241 </w:instrText>
      </w:r>
      <w:r>
        <w:rPr>
          <w:rFonts w:hint="eastAsia" w:ascii="仿宋" w:hAnsi="仿宋" w:eastAsia="仿宋" w:cs="仿宋"/>
          <w:bCs/>
          <w:caps/>
          <w:smallCaps w:val="0"/>
          <w:sz w:val="24"/>
          <w:szCs w:val="22"/>
          <w:highlight w:val="none"/>
        </w:rPr>
        <w:fldChar w:fldCharType="separate"/>
      </w:r>
      <w:r>
        <w:rPr>
          <w:sz w:val="24"/>
          <w:szCs w:val="24"/>
          <w:highlight w:val="none"/>
        </w:rPr>
        <w:t>第</w:t>
      </w:r>
      <w:r>
        <w:rPr>
          <w:rFonts w:hint="eastAsia"/>
          <w:sz w:val="24"/>
          <w:szCs w:val="24"/>
          <w:highlight w:val="none"/>
          <w:lang w:val="en-US" w:eastAsia="zh-CN"/>
        </w:rPr>
        <w:t>8</w:t>
      </w:r>
      <w:r>
        <w:rPr>
          <w:sz w:val="24"/>
          <w:szCs w:val="24"/>
          <w:highlight w:val="none"/>
        </w:rPr>
        <w:t>章  节</w:t>
      </w:r>
      <w:r>
        <w:rPr>
          <w:rFonts w:hint="eastAsia"/>
          <w:sz w:val="24"/>
          <w:szCs w:val="24"/>
          <w:highlight w:val="none"/>
          <w:lang w:val="en-US" w:eastAsia="zh-CN"/>
        </w:rPr>
        <w:t xml:space="preserve">  </w:t>
      </w:r>
      <w:r>
        <w:rPr>
          <w:sz w:val="24"/>
          <w:szCs w:val="24"/>
          <w:highlight w:val="none"/>
        </w:rPr>
        <w:t>能</w:t>
      </w:r>
      <w:r>
        <w:rPr>
          <w:sz w:val="24"/>
          <w:szCs w:val="24"/>
        </w:rPr>
        <w:tab/>
      </w:r>
      <w:r>
        <w:rPr>
          <w:sz w:val="24"/>
          <w:szCs w:val="24"/>
        </w:rPr>
        <w:fldChar w:fldCharType="begin"/>
      </w:r>
      <w:r>
        <w:rPr>
          <w:sz w:val="24"/>
          <w:szCs w:val="24"/>
        </w:rPr>
        <w:instrText xml:space="preserve"> PAGEREF _Toc11241 \h </w:instrText>
      </w:r>
      <w:r>
        <w:rPr>
          <w:sz w:val="24"/>
          <w:szCs w:val="24"/>
        </w:rPr>
        <w:fldChar w:fldCharType="separate"/>
      </w:r>
      <w:r>
        <w:rPr>
          <w:sz w:val="24"/>
          <w:szCs w:val="24"/>
        </w:rPr>
        <w:t>84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_Toc24990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8</w:t>
      </w:r>
      <w:r>
        <w:rPr>
          <w:rFonts w:hint="eastAsia"/>
          <w:sz w:val="24"/>
          <w:szCs w:val="24"/>
          <w:highlight w:val="none"/>
        </w:rPr>
        <w:t>.1执行标准与规定</w:t>
      </w:r>
      <w:r>
        <w:rPr>
          <w:sz w:val="24"/>
          <w:szCs w:val="24"/>
        </w:rPr>
        <w:tab/>
      </w:r>
      <w:r>
        <w:rPr>
          <w:sz w:val="24"/>
          <w:szCs w:val="24"/>
        </w:rPr>
        <w:fldChar w:fldCharType="begin"/>
      </w:r>
      <w:r>
        <w:rPr>
          <w:sz w:val="24"/>
          <w:szCs w:val="24"/>
        </w:rPr>
        <w:instrText xml:space="preserve"> PAGEREF _Toc24990 \h </w:instrText>
      </w:r>
      <w:r>
        <w:rPr>
          <w:sz w:val="24"/>
          <w:szCs w:val="24"/>
        </w:rPr>
        <w:fldChar w:fldCharType="separate"/>
      </w:r>
      <w:r>
        <w:rPr>
          <w:sz w:val="24"/>
          <w:szCs w:val="24"/>
        </w:rPr>
        <w:t>84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_Toc15366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8</w:t>
      </w:r>
      <w:r>
        <w:rPr>
          <w:rFonts w:hint="eastAsia"/>
          <w:sz w:val="24"/>
          <w:szCs w:val="24"/>
          <w:highlight w:val="none"/>
        </w:rPr>
        <w:t>.2节能原则</w:t>
      </w:r>
      <w:r>
        <w:rPr>
          <w:sz w:val="24"/>
          <w:szCs w:val="24"/>
        </w:rPr>
        <w:tab/>
      </w:r>
      <w:r>
        <w:rPr>
          <w:sz w:val="24"/>
          <w:szCs w:val="24"/>
        </w:rPr>
        <w:fldChar w:fldCharType="begin"/>
      </w:r>
      <w:r>
        <w:rPr>
          <w:sz w:val="24"/>
          <w:szCs w:val="24"/>
        </w:rPr>
        <w:instrText xml:space="preserve"> PAGEREF _Toc15366 \h </w:instrText>
      </w:r>
      <w:r>
        <w:rPr>
          <w:sz w:val="24"/>
          <w:szCs w:val="24"/>
        </w:rPr>
        <w:fldChar w:fldCharType="separate"/>
      </w:r>
      <w:r>
        <w:rPr>
          <w:sz w:val="24"/>
          <w:szCs w:val="24"/>
        </w:rPr>
        <w:t>84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_Toc23779 </w:instrText>
      </w:r>
      <w:r>
        <w:rPr>
          <w:rFonts w:hint="eastAsia" w:ascii="仿宋" w:hAnsi="仿宋" w:eastAsia="仿宋" w:cs="仿宋"/>
          <w:bCs/>
          <w:caps/>
          <w:smallCaps w:val="0"/>
          <w:sz w:val="24"/>
          <w:szCs w:val="22"/>
          <w:highlight w:val="none"/>
        </w:rPr>
        <w:fldChar w:fldCharType="separate"/>
      </w:r>
      <w:r>
        <w:rPr>
          <w:rFonts w:hint="eastAsia"/>
          <w:sz w:val="24"/>
          <w:szCs w:val="24"/>
          <w:lang w:val="en-US" w:eastAsia="zh-CN"/>
        </w:rPr>
        <w:t>8.3能耗分析</w:t>
      </w:r>
      <w:r>
        <w:rPr>
          <w:sz w:val="24"/>
          <w:szCs w:val="24"/>
        </w:rPr>
        <w:tab/>
      </w:r>
      <w:r>
        <w:rPr>
          <w:sz w:val="24"/>
          <w:szCs w:val="24"/>
        </w:rPr>
        <w:fldChar w:fldCharType="begin"/>
      </w:r>
      <w:r>
        <w:rPr>
          <w:sz w:val="24"/>
          <w:szCs w:val="24"/>
        </w:rPr>
        <w:instrText xml:space="preserve"> PAGEREF _Toc23779 \h </w:instrText>
      </w:r>
      <w:r>
        <w:rPr>
          <w:sz w:val="24"/>
          <w:szCs w:val="24"/>
        </w:rPr>
        <w:fldChar w:fldCharType="separate"/>
      </w:r>
      <w:r>
        <w:rPr>
          <w:sz w:val="24"/>
          <w:szCs w:val="24"/>
        </w:rPr>
        <w:t>85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_Toc16893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8</w:t>
      </w:r>
      <w:r>
        <w:rPr>
          <w:rFonts w:hint="eastAsia"/>
          <w:sz w:val="24"/>
          <w:szCs w:val="24"/>
          <w:highlight w:val="none"/>
        </w:rPr>
        <w:t>.</w:t>
      </w:r>
      <w:r>
        <w:rPr>
          <w:rFonts w:hint="eastAsia"/>
          <w:sz w:val="24"/>
          <w:szCs w:val="24"/>
          <w:highlight w:val="none"/>
          <w:lang w:val="en-US" w:eastAsia="zh-CN"/>
        </w:rPr>
        <w:t>4</w:t>
      </w:r>
      <w:r>
        <w:rPr>
          <w:rFonts w:hint="eastAsia"/>
          <w:sz w:val="24"/>
          <w:szCs w:val="24"/>
          <w:highlight w:val="none"/>
          <w:lang w:val="zh-CN"/>
        </w:rPr>
        <w:t>节能</w:t>
      </w:r>
      <w:r>
        <w:rPr>
          <w:rFonts w:hint="eastAsia"/>
          <w:sz w:val="24"/>
          <w:szCs w:val="24"/>
          <w:highlight w:val="none"/>
        </w:rPr>
        <w:t>措施</w:t>
      </w:r>
      <w:r>
        <w:rPr>
          <w:sz w:val="24"/>
          <w:szCs w:val="24"/>
        </w:rPr>
        <w:tab/>
      </w:r>
      <w:r>
        <w:rPr>
          <w:sz w:val="24"/>
          <w:szCs w:val="24"/>
        </w:rPr>
        <w:fldChar w:fldCharType="begin"/>
      </w:r>
      <w:r>
        <w:rPr>
          <w:sz w:val="24"/>
          <w:szCs w:val="24"/>
        </w:rPr>
        <w:instrText xml:space="preserve"> PAGEREF _Toc16893 \h </w:instrText>
      </w:r>
      <w:r>
        <w:rPr>
          <w:sz w:val="24"/>
          <w:szCs w:val="24"/>
        </w:rPr>
        <w:fldChar w:fldCharType="separate"/>
      </w:r>
      <w:r>
        <w:rPr>
          <w:sz w:val="24"/>
          <w:szCs w:val="24"/>
        </w:rPr>
        <w:t>85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_Toc29646 </w:instrText>
      </w:r>
      <w:r>
        <w:rPr>
          <w:rFonts w:hint="eastAsia" w:ascii="仿宋" w:hAnsi="仿宋" w:eastAsia="仿宋" w:cs="仿宋"/>
          <w:bCs/>
          <w:caps/>
          <w:smallCaps w:val="0"/>
          <w:sz w:val="24"/>
          <w:szCs w:val="22"/>
          <w:highlight w:val="none"/>
        </w:rPr>
        <w:fldChar w:fldCharType="separate"/>
      </w:r>
      <w:r>
        <w:rPr>
          <w:sz w:val="24"/>
          <w:szCs w:val="24"/>
          <w:highlight w:val="none"/>
        </w:rPr>
        <w:t>第</w:t>
      </w:r>
      <w:r>
        <w:rPr>
          <w:rFonts w:hint="eastAsia"/>
          <w:sz w:val="24"/>
          <w:szCs w:val="24"/>
          <w:highlight w:val="none"/>
          <w:lang w:val="en-US" w:eastAsia="zh-CN"/>
        </w:rPr>
        <w:t>9</w:t>
      </w:r>
      <w:r>
        <w:rPr>
          <w:sz w:val="24"/>
          <w:szCs w:val="24"/>
          <w:highlight w:val="none"/>
        </w:rPr>
        <w:t>章  环境保护</w:t>
      </w:r>
      <w:r>
        <w:rPr>
          <w:sz w:val="24"/>
          <w:szCs w:val="24"/>
        </w:rPr>
        <w:tab/>
      </w:r>
      <w:r>
        <w:rPr>
          <w:sz w:val="24"/>
          <w:szCs w:val="24"/>
        </w:rPr>
        <w:fldChar w:fldCharType="begin"/>
      </w:r>
      <w:r>
        <w:rPr>
          <w:sz w:val="24"/>
          <w:szCs w:val="24"/>
        </w:rPr>
        <w:instrText xml:space="preserve"> PAGEREF _Toc29646 \h </w:instrText>
      </w:r>
      <w:r>
        <w:rPr>
          <w:sz w:val="24"/>
          <w:szCs w:val="24"/>
        </w:rPr>
        <w:fldChar w:fldCharType="separate"/>
      </w:r>
      <w:r>
        <w:rPr>
          <w:sz w:val="24"/>
          <w:szCs w:val="24"/>
        </w:rPr>
        <w:t>87</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_Toc21102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9</w:t>
      </w:r>
      <w:r>
        <w:rPr>
          <w:sz w:val="24"/>
          <w:szCs w:val="24"/>
          <w:highlight w:val="none"/>
        </w:rPr>
        <w:t>.1编制依据和标准</w:t>
      </w:r>
      <w:r>
        <w:rPr>
          <w:sz w:val="24"/>
          <w:szCs w:val="24"/>
        </w:rPr>
        <w:tab/>
      </w:r>
      <w:r>
        <w:rPr>
          <w:sz w:val="24"/>
          <w:szCs w:val="24"/>
        </w:rPr>
        <w:fldChar w:fldCharType="begin"/>
      </w:r>
      <w:r>
        <w:rPr>
          <w:sz w:val="24"/>
          <w:szCs w:val="24"/>
        </w:rPr>
        <w:instrText xml:space="preserve"> PAGEREF _Toc21102 \h </w:instrText>
      </w:r>
      <w:r>
        <w:rPr>
          <w:sz w:val="24"/>
          <w:szCs w:val="24"/>
        </w:rPr>
        <w:fldChar w:fldCharType="separate"/>
      </w:r>
      <w:r>
        <w:rPr>
          <w:sz w:val="24"/>
          <w:szCs w:val="24"/>
        </w:rPr>
        <w:t>87</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_Toc21508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9</w:t>
      </w:r>
      <w:r>
        <w:rPr>
          <w:rFonts w:hint="eastAsia"/>
          <w:sz w:val="24"/>
          <w:szCs w:val="24"/>
          <w:highlight w:val="none"/>
        </w:rPr>
        <w:t>.</w:t>
      </w:r>
      <w:r>
        <w:rPr>
          <w:rFonts w:hint="eastAsia"/>
          <w:sz w:val="24"/>
          <w:szCs w:val="24"/>
          <w:highlight w:val="none"/>
          <w:lang w:val="en-US" w:eastAsia="zh-CN"/>
        </w:rPr>
        <w:t>2</w:t>
      </w:r>
      <w:r>
        <w:rPr>
          <w:rFonts w:hint="eastAsia"/>
          <w:sz w:val="24"/>
          <w:szCs w:val="24"/>
          <w:highlight w:val="none"/>
        </w:rPr>
        <w:t>建设地区环境现状</w:t>
      </w:r>
      <w:r>
        <w:rPr>
          <w:sz w:val="24"/>
          <w:szCs w:val="24"/>
        </w:rPr>
        <w:tab/>
      </w:r>
      <w:r>
        <w:rPr>
          <w:sz w:val="24"/>
          <w:szCs w:val="24"/>
        </w:rPr>
        <w:fldChar w:fldCharType="begin"/>
      </w:r>
      <w:r>
        <w:rPr>
          <w:sz w:val="24"/>
          <w:szCs w:val="24"/>
        </w:rPr>
        <w:instrText xml:space="preserve"> PAGEREF _Toc21508 \h </w:instrText>
      </w:r>
      <w:r>
        <w:rPr>
          <w:sz w:val="24"/>
          <w:szCs w:val="24"/>
        </w:rPr>
        <w:fldChar w:fldCharType="separate"/>
      </w:r>
      <w:r>
        <w:rPr>
          <w:sz w:val="24"/>
          <w:szCs w:val="24"/>
        </w:rPr>
        <w:t>88</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_Toc18890 </w:instrText>
      </w:r>
      <w:r>
        <w:rPr>
          <w:rFonts w:hint="eastAsia" w:ascii="仿宋" w:hAnsi="仿宋" w:eastAsia="仿宋" w:cs="仿宋"/>
          <w:bCs/>
          <w:caps/>
          <w:smallCaps w:val="0"/>
          <w:sz w:val="24"/>
          <w:szCs w:val="22"/>
          <w:highlight w:val="none"/>
        </w:rPr>
        <w:fldChar w:fldCharType="separate"/>
      </w:r>
      <w:r>
        <w:rPr>
          <w:rFonts w:hint="eastAsia"/>
          <w:sz w:val="24"/>
          <w:szCs w:val="24"/>
          <w:lang w:val="en-US" w:eastAsia="zh-CN"/>
        </w:rPr>
        <w:t>9.3环境影响预测</w:t>
      </w:r>
      <w:r>
        <w:rPr>
          <w:sz w:val="24"/>
          <w:szCs w:val="24"/>
        </w:rPr>
        <w:tab/>
      </w:r>
      <w:r>
        <w:rPr>
          <w:sz w:val="24"/>
          <w:szCs w:val="24"/>
        </w:rPr>
        <w:fldChar w:fldCharType="begin"/>
      </w:r>
      <w:r>
        <w:rPr>
          <w:sz w:val="24"/>
          <w:szCs w:val="24"/>
        </w:rPr>
        <w:instrText xml:space="preserve"> PAGEREF _Toc18890 \h </w:instrText>
      </w:r>
      <w:r>
        <w:rPr>
          <w:sz w:val="24"/>
          <w:szCs w:val="24"/>
        </w:rPr>
        <w:fldChar w:fldCharType="separate"/>
      </w:r>
      <w:r>
        <w:rPr>
          <w:sz w:val="24"/>
          <w:szCs w:val="24"/>
        </w:rPr>
        <w:t>88</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_Toc16400 </w:instrText>
      </w:r>
      <w:r>
        <w:rPr>
          <w:rFonts w:hint="eastAsia" w:ascii="仿宋" w:hAnsi="仿宋" w:eastAsia="仿宋" w:cs="仿宋"/>
          <w:bCs/>
          <w:caps/>
          <w:smallCaps w:val="0"/>
          <w:sz w:val="24"/>
          <w:szCs w:val="22"/>
          <w:highlight w:val="none"/>
        </w:rPr>
        <w:fldChar w:fldCharType="separate"/>
      </w:r>
      <w:r>
        <w:rPr>
          <w:rFonts w:hint="eastAsia"/>
          <w:sz w:val="24"/>
          <w:szCs w:val="24"/>
          <w:lang w:val="en-US" w:eastAsia="zh-CN"/>
        </w:rPr>
        <w:t>9.4环境污染防治措施</w:t>
      </w:r>
      <w:r>
        <w:rPr>
          <w:sz w:val="24"/>
          <w:szCs w:val="24"/>
        </w:rPr>
        <w:tab/>
      </w:r>
      <w:r>
        <w:rPr>
          <w:sz w:val="24"/>
          <w:szCs w:val="24"/>
        </w:rPr>
        <w:fldChar w:fldCharType="begin"/>
      </w:r>
      <w:r>
        <w:rPr>
          <w:sz w:val="24"/>
          <w:szCs w:val="24"/>
        </w:rPr>
        <w:instrText xml:space="preserve"> PAGEREF _Toc16400 \h </w:instrText>
      </w:r>
      <w:r>
        <w:rPr>
          <w:sz w:val="24"/>
          <w:szCs w:val="24"/>
        </w:rPr>
        <w:fldChar w:fldCharType="separate"/>
      </w:r>
      <w:r>
        <w:rPr>
          <w:sz w:val="24"/>
          <w:szCs w:val="24"/>
        </w:rPr>
        <w:t>89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_Toc16615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9</w:t>
      </w:r>
      <w:r>
        <w:rPr>
          <w:rFonts w:hint="eastAsia"/>
          <w:sz w:val="24"/>
          <w:szCs w:val="24"/>
          <w:highlight w:val="none"/>
        </w:rPr>
        <w:t>.</w:t>
      </w:r>
      <w:r>
        <w:rPr>
          <w:rFonts w:hint="eastAsia"/>
          <w:sz w:val="24"/>
          <w:szCs w:val="24"/>
          <w:highlight w:val="none"/>
          <w:lang w:val="en-US" w:eastAsia="zh-CN"/>
        </w:rPr>
        <w:t>5</w:t>
      </w:r>
      <w:r>
        <w:rPr>
          <w:rFonts w:hint="eastAsia"/>
          <w:sz w:val="24"/>
          <w:szCs w:val="24"/>
          <w:highlight w:val="none"/>
        </w:rPr>
        <w:t>环境影响分析结论</w:t>
      </w:r>
      <w:r>
        <w:rPr>
          <w:sz w:val="24"/>
          <w:szCs w:val="24"/>
        </w:rPr>
        <w:tab/>
      </w:r>
      <w:r>
        <w:rPr>
          <w:sz w:val="24"/>
          <w:szCs w:val="24"/>
        </w:rPr>
        <w:fldChar w:fldCharType="begin"/>
      </w:r>
      <w:r>
        <w:rPr>
          <w:sz w:val="24"/>
          <w:szCs w:val="24"/>
        </w:rPr>
        <w:instrText xml:space="preserve"> PAGEREF _Toc16615 \h </w:instrText>
      </w:r>
      <w:r>
        <w:rPr>
          <w:sz w:val="24"/>
          <w:szCs w:val="24"/>
        </w:rPr>
        <w:fldChar w:fldCharType="separate"/>
      </w:r>
      <w:r>
        <w:rPr>
          <w:sz w:val="24"/>
          <w:szCs w:val="24"/>
        </w:rPr>
        <w:t>93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_Toc5147 </w:instrText>
      </w:r>
      <w:r>
        <w:rPr>
          <w:rFonts w:hint="eastAsia" w:ascii="仿宋" w:hAnsi="仿宋" w:eastAsia="仿宋" w:cs="仿宋"/>
          <w:bCs/>
          <w:caps/>
          <w:smallCaps w:val="0"/>
          <w:sz w:val="24"/>
          <w:szCs w:val="22"/>
          <w:highlight w:val="none"/>
        </w:rPr>
        <w:fldChar w:fldCharType="separate"/>
      </w:r>
      <w:r>
        <w:rPr>
          <w:sz w:val="24"/>
          <w:szCs w:val="24"/>
          <w:highlight w:val="none"/>
        </w:rPr>
        <w:t>第</w:t>
      </w:r>
      <w:r>
        <w:rPr>
          <w:rFonts w:hint="eastAsia"/>
          <w:sz w:val="24"/>
          <w:szCs w:val="24"/>
          <w:highlight w:val="none"/>
        </w:rPr>
        <w:t>1</w:t>
      </w:r>
      <w:r>
        <w:rPr>
          <w:rFonts w:hint="eastAsia"/>
          <w:sz w:val="24"/>
          <w:szCs w:val="24"/>
          <w:highlight w:val="none"/>
          <w:lang w:val="en-US" w:eastAsia="zh-CN"/>
        </w:rPr>
        <w:t>0</w:t>
      </w:r>
      <w:r>
        <w:rPr>
          <w:sz w:val="24"/>
          <w:szCs w:val="24"/>
          <w:highlight w:val="none"/>
        </w:rPr>
        <w:t>章  劳动安全</w:t>
      </w:r>
      <w:r>
        <w:rPr>
          <w:rFonts w:hint="eastAsia"/>
          <w:sz w:val="24"/>
          <w:szCs w:val="24"/>
          <w:highlight w:val="none"/>
        </w:rPr>
        <w:t>卫生</w:t>
      </w:r>
      <w:r>
        <w:rPr>
          <w:sz w:val="24"/>
          <w:szCs w:val="24"/>
          <w:highlight w:val="none"/>
        </w:rPr>
        <w:t>与消防</w:t>
      </w:r>
      <w:r>
        <w:rPr>
          <w:sz w:val="24"/>
          <w:szCs w:val="24"/>
        </w:rPr>
        <w:tab/>
      </w:r>
      <w:r>
        <w:rPr>
          <w:sz w:val="24"/>
          <w:szCs w:val="24"/>
        </w:rPr>
        <w:fldChar w:fldCharType="begin"/>
      </w:r>
      <w:r>
        <w:rPr>
          <w:sz w:val="24"/>
          <w:szCs w:val="24"/>
        </w:rPr>
        <w:instrText xml:space="preserve"> PAGEREF _Toc5147 \h </w:instrText>
      </w:r>
      <w:r>
        <w:rPr>
          <w:sz w:val="24"/>
          <w:szCs w:val="24"/>
        </w:rPr>
        <w:fldChar w:fldCharType="separate"/>
      </w:r>
      <w:r>
        <w:rPr>
          <w:sz w:val="24"/>
          <w:szCs w:val="24"/>
        </w:rPr>
        <w:t>94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_Toc22346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.1主要规范和标准、规定</w:t>
      </w:r>
      <w:r>
        <w:rPr>
          <w:sz w:val="24"/>
          <w:szCs w:val="24"/>
        </w:rPr>
        <w:tab/>
      </w:r>
      <w:r>
        <w:rPr>
          <w:sz w:val="24"/>
          <w:szCs w:val="24"/>
        </w:rPr>
        <w:fldChar w:fldCharType="begin"/>
      </w:r>
      <w:r>
        <w:rPr>
          <w:sz w:val="24"/>
          <w:szCs w:val="24"/>
        </w:rPr>
        <w:instrText xml:space="preserve"> PAGEREF _Toc22346 \h </w:instrText>
      </w:r>
      <w:r>
        <w:rPr>
          <w:sz w:val="24"/>
          <w:szCs w:val="24"/>
        </w:rPr>
        <w:fldChar w:fldCharType="separate"/>
      </w:r>
      <w:r>
        <w:rPr>
          <w:sz w:val="24"/>
          <w:szCs w:val="24"/>
        </w:rPr>
        <w:t>94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_Toc23946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.2劳动安全卫生</w:t>
      </w:r>
      <w:r>
        <w:rPr>
          <w:sz w:val="24"/>
          <w:szCs w:val="24"/>
        </w:rPr>
        <w:tab/>
      </w:r>
      <w:r>
        <w:rPr>
          <w:sz w:val="24"/>
          <w:szCs w:val="24"/>
        </w:rPr>
        <w:fldChar w:fldCharType="begin"/>
      </w:r>
      <w:r>
        <w:rPr>
          <w:sz w:val="24"/>
          <w:szCs w:val="24"/>
        </w:rPr>
        <w:instrText xml:space="preserve"> PAGEREF _Toc23946 \h </w:instrText>
      </w:r>
      <w:r>
        <w:rPr>
          <w:sz w:val="24"/>
          <w:szCs w:val="24"/>
        </w:rPr>
        <w:fldChar w:fldCharType="separate"/>
      </w:r>
      <w:r>
        <w:rPr>
          <w:sz w:val="24"/>
          <w:szCs w:val="24"/>
        </w:rPr>
        <w:t>94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_Toc2261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.3</w:t>
      </w:r>
      <w:r>
        <w:rPr>
          <w:rFonts w:hint="eastAsia"/>
          <w:sz w:val="24"/>
          <w:szCs w:val="24"/>
          <w:highlight w:val="none"/>
          <w:lang w:val="zh-CN"/>
        </w:rPr>
        <w:t>消防</w:t>
      </w:r>
      <w:r>
        <w:rPr>
          <w:sz w:val="24"/>
          <w:szCs w:val="24"/>
        </w:rPr>
        <w:tab/>
      </w:r>
      <w:r>
        <w:rPr>
          <w:sz w:val="24"/>
          <w:szCs w:val="24"/>
        </w:rPr>
        <w:fldChar w:fldCharType="begin"/>
      </w:r>
      <w:r>
        <w:rPr>
          <w:sz w:val="24"/>
          <w:szCs w:val="24"/>
        </w:rPr>
        <w:instrText xml:space="preserve"> PAGEREF _Toc2261 \h </w:instrText>
      </w:r>
      <w:r>
        <w:rPr>
          <w:sz w:val="24"/>
          <w:szCs w:val="24"/>
        </w:rPr>
        <w:fldChar w:fldCharType="separate"/>
      </w:r>
      <w:r>
        <w:rPr>
          <w:sz w:val="24"/>
          <w:szCs w:val="24"/>
        </w:rPr>
        <w:t>95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_Toc1157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.4卫生</w:t>
      </w:r>
      <w:r>
        <w:rPr>
          <w:sz w:val="24"/>
          <w:szCs w:val="24"/>
        </w:rPr>
        <w:tab/>
      </w:r>
      <w:r>
        <w:rPr>
          <w:sz w:val="24"/>
          <w:szCs w:val="24"/>
        </w:rPr>
        <w:fldChar w:fldCharType="begin"/>
      </w:r>
      <w:r>
        <w:rPr>
          <w:sz w:val="24"/>
          <w:szCs w:val="24"/>
        </w:rPr>
        <w:instrText xml:space="preserve"> PAGEREF _Toc1157 \h </w:instrText>
      </w:r>
      <w:r>
        <w:rPr>
          <w:sz w:val="24"/>
          <w:szCs w:val="24"/>
        </w:rPr>
        <w:fldChar w:fldCharType="separate"/>
      </w:r>
      <w:r>
        <w:rPr>
          <w:sz w:val="24"/>
          <w:szCs w:val="24"/>
        </w:rPr>
        <w:t>105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_Toc12718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0</w:t>
      </w:r>
      <w:r>
        <w:rPr>
          <w:rFonts w:hint="eastAsia"/>
          <w:sz w:val="24"/>
          <w:szCs w:val="24"/>
          <w:highlight w:val="none"/>
        </w:rPr>
        <w:t>.5生产过程的食品安全控制</w:t>
      </w:r>
      <w:r>
        <w:rPr>
          <w:sz w:val="24"/>
          <w:szCs w:val="24"/>
        </w:rPr>
        <w:tab/>
      </w:r>
      <w:r>
        <w:rPr>
          <w:sz w:val="24"/>
          <w:szCs w:val="24"/>
        </w:rPr>
        <w:fldChar w:fldCharType="begin"/>
      </w:r>
      <w:r>
        <w:rPr>
          <w:sz w:val="24"/>
          <w:szCs w:val="24"/>
        </w:rPr>
        <w:instrText xml:space="preserve"> PAGEREF _Toc12718 \h </w:instrText>
      </w:r>
      <w:r>
        <w:rPr>
          <w:sz w:val="24"/>
          <w:szCs w:val="24"/>
        </w:rPr>
        <w:fldChar w:fldCharType="separate"/>
      </w:r>
      <w:r>
        <w:rPr>
          <w:sz w:val="24"/>
          <w:szCs w:val="24"/>
        </w:rPr>
        <w:t>108</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_Toc16049 </w:instrText>
      </w:r>
      <w:r>
        <w:rPr>
          <w:rFonts w:hint="eastAsia" w:ascii="仿宋" w:hAnsi="仿宋" w:eastAsia="仿宋" w:cs="仿宋"/>
          <w:bCs/>
          <w:caps/>
          <w:smallCaps w:val="0"/>
          <w:sz w:val="24"/>
          <w:szCs w:val="22"/>
          <w:highlight w:val="none"/>
        </w:rPr>
        <w:fldChar w:fldCharType="separate"/>
      </w:r>
      <w:r>
        <w:rPr>
          <w:rFonts w:cs="Times New Roman"/>
          <w:sz w:val="24"/>
          <w:szCs w:val="32"/>
          <w:highlight w:val="none"/>
        </w:rPr>
        <w:t>第1</w:t>
      </w:r>
      <w:r>
        <w:rPr>
          <w:rFonts w:hint="eastAsia" w:cs="Times New Roman"/>
          <w:sz w:val="24"/>
          <w:szCs w:val="32"/>
          <w:highlight w:val="none"/>
          <w:lang w:val="en-US" w:eastAsia="zh-CN"/>
        </w:rPr>
        <w:t>1</w:t>
      </w:r>
      <w:r>
        <w:rPr>
          <w:rFonts w:cs="Times New Roman"/>
          <w:sz w:val="24"/>
          <w:szCs w:val="32"/>
          <w:highlight w:val="none"/>
        </w:rPr>
        <w:t>章  项目实施进度计划</w:t>
      </w:r>
      <w:r>
        <w:rPr>
          <w:sz w:val="24"/>
          <w:szCs w:val="24"/>
        </w:rPr>
        <w:tab/>
      </w:r>
      <w:r>
        <w:rPr>
          <w:sz w:val="24"/>
          <w:szCs w:val="24"/>
        </w:rPr>
        <w:fldChar w:fldCharType="begin"/>
      </w:r>
      <w:r>
        <w:rPr>
          <w:sz w:val="24"/>
          <w:szCs w:val="24"/>
        </w:rPr>
        <w:instrText xml:space="preserve"> PAGEREF _Toc16049 \h </w:instrText>
      </w:r>
      <w:r>
        <w:rPr>
          <w:sz w:val="24"/>
          <w:szCs w:val="24"/>
        </w:rPr>
        <w:fldChar w:fldCharType="separate"/>
      </w:r>
      <w:r>
        <w:rPr>
          <w:sz w:val="24"/>
          <w:szCs w:val="24"/>
        </w:rPr>
        <w:t>109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_Toc15009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1</w:t>
      </w:r>
      <w:r>
        <w:rPr>
          <w:sz w:val="24"/>
          <w:szCs w:val="24"/>
          <w:highlight w:val="none"/>
        </w:rPr>
        <w:t>.1建设工期</w:t>
      </w:r>
      <w:r>
        <w:rPr>
          <w:sz w:val="24"/>
          <w:szCs w:val="24"/>
        </w:rPr>
        <w:tab/>
      </w:r>
      <w:r>
        <w:rPr>
          <w:sz w:val="24"/>
          <w:szCs w:val="24"/>
        </w:rPr>
        <w:fldChar w:fldCharType="begin"/>
      </w:r>
      <w:r>
        <w:rPr>
          <w:sz w:val="24"/>
          <w:szCs w:val="24"/>
        </w:rPr>
        <w:instrText xml:space="preserve"> PAGEREF _Toc15009 \h </w:instrText>
      </w:r>
      <w:r>
        <w:rPr>
          <w:sz w:val="24"/>
          <w:szCs w:val="24"/>
        </w:rPr>
        <w:fldChar w:fldCharType="separate"/>
      </w:r>
      <w:r>
        <w:rPr>
          <w:sz w:val="24"/>
          <w:szCs w:val="24"/>
        </w:rPr>
        <w:t>109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_Toc31897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1</w:t>
      </w:r>
      <w:r>
        <w:rPr>
          <w:sz w:val="24"/>
          <w:szCs w:val="24"/>
          <w:highlight w:val="none"/>
        </w:rPr>
        <w:t>.2项目进度安排</w:t>
      </w:r>
      <w:r>
        <w:rPr>
          <w:sz w:val="24"/>
          <w:szCs w:val="24"/>
        </w:rPr>
        <w:tab/>
      </w:r>
      <w:r>
        <w:rPr>
          <w:sz w:val="24"/>
          <w:szCs w:val="24"/>
        </w:rPr>
        <w:fldChar w:fldCharType="begin"/>
      </w:r>
      <w:r>
        <w:rPr>
          <w:sz w:val="24"/>
          <w:szCs w:val="24"/>
        </w:rPr>
        <w:instrText xml:space="preserve"> PAGEREF _Toc31897 \h </w:instrText>
      </w:r>
      <w:r>
        <w:rPr>
          <w:sz w:val="24"/>
          <w:szCs w:val="24"/>
        </w:rPr>
        <w:fldChar w:fldCharType="separate"/>
      </w:r>
      <w:r>
        <w:rPr>
          <w:sz w:val="24"/>
          <w:szCs w:val="24"/>
        </w:rPr>
        <w:t>109</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_Toc31048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1</w:t>
      </w:r>
      <w:r>
        <w:rPr>
          <w:rFonts w:hint="eastAsia"/>
          <w:sz w:val="24"/>
          <w:szCs w:val="24"/>
          <w:highlight w:val="none"/>
        </w:rPr>
        <w:t>.3项目实施进度</w:t>
      </w:r>
      <w:r>
        <w:rPr>
          <w:sz w:val="24"/>
          <w:szCs w:val="24"/>
        </w:rPr>
        <w:tab/>
      </w:r>
      <w:r>
        <w:rPr>
          <w:sz w:val="24"/>
          <w:szCs w:val="24"/>
        </w:rPr>
        <w:fldChar w:fldCharType="begin"/>
      </w:r>
      <w:r>
        <w:rPr>
          <w:sz w:val="24"/>
          <w:szCs w:val="24"/>
        </w:rPr>
        <w:instrText xml:space="preserve"> PAGEREF _Toc31048 \h </w:instrText>
      </w:r>
      <w:r>
        <w:rPr>
          <w:sz w:val="24"/>
          <w:szCs w:val="24"/>
        </w:rPr>
        <w:fldChar w:fldCharType="separate"/>
      </w:r>
      <w:r>
        <w:rPr>
          <w:sz w:val="24"/>
          <w:szCs w:val="24"/>
        </w:rPr>
        <w:t>110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_Toc20390 </w:instrText>
      </w:r>
      <w:r>
        <w:rPr>
          <w:rFonts w:hint="eastAsia" w:ascii="仿宋" w:hAnsi="仿宋" w:eastAsia="仿宋" w:cs="仿宋"/>
          <w:bCs/>
          <w:caps/>
          <w:smallCaps w:val="0"/>
          <w:sz w:val="24"/>
          <w:szCs w:val="22"/>
          <w:highlight w:val="none"/>
        </w:rPr>
        <w:fldChar w:fldCharType="separate"/>
      </w:r>
      <w:r>
        <w:rPr>
          <w:rFonts w:cs="Times New Roman"/>
          <w:sz w:val="24"/>
          <w:szCs w:val="32"/>
          <w:highlight w:val="none"/>
        </w:rPr>
        <w:t>第1</w:t>
      </w:r>
      <w:r>
        <w:rPr>
          <w:rFonts w:hint="eastAsia" w:cs="Times New Roman"/>
          <w:sz w:val="24"/>
          <w:szCs w:val="32"/>
          <w:highlight w:val="none"/>
          <w:lang w:val="en-US" w:eastAsia="zh-CN"/>
        </w:rPr>
        <w:t>2</w:t>
      </w:r>
      <w:r>
        <w:rPr>
          <w:rFonts w:cs="Times New Roman"/>
          <w:sz w:val="24"/>
          <w:szCs w:val="32"/>
          <w:highlight w:val="none"/>
        </w:rPr>
        <w:t xml:space="preserve">章 </w:t>
      </w:r>
      <w:r>
        <w:rPr>
          <w:rFonts w:hint="eastAsia" w:cs="Times New Roman"/>
          <w:sz w:val="24"/>
          <w:szCs w:val="32"/>
          <w:highlight w:val="none"/>
          <w:lang w:val="en-US" w:eastAsia="zh-CN"/>
        </w:rPr>
        <w:t xml:space="preserve"> </w:t>
      </w:r>
      <w:r>
        <w:rPr>
          <w:rFonts w:cs="Times New Roman"/>
          <w:sz w:val="24"/>
          <w:szCs w:val="32"/>
          <w:highlight w:val="none"/>
        </w:rPr>
        <w:t>工程招投标</w:t>
      </w:r>
      <w:r>
        <w:rPr>
          <w:sz w:val="24"/>
          <w:szCs w:val="24"/>
        </w:rPr>
        <w:tab/>
      </w:r>
      <w:r>
        <w:rPr>
          <w:sz w:val="24"/>
          <w:szCs w:val="24"/>
        </w:rPr>
        <w:fldChar w:fldCharType="begin"/>
      </w:r>
      <w:r>
        <w:rPr>
          <w:sz w:val="24"/>
          <w:szCs w:val="24"/>
        </w:rPr>
        <w:instrText xml:space="preserve"> PAGEREF _Toc20390 \h </w:instrText>
      </w:r>
      <w:r>
        <w:rPr>
          <w:sz w:val="24"/>
          <w:szCs w:val="24"/>
        </w:rPr>
        <w:fldChar w:fldCharType="separate"/>
      </w:r>
      <w:r>
        <w:rPr>
          <w:sz w:val="24"/>
          <w:szCs w:val="24"/>
        </w:rPr>
        <w:t>111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_Toc27324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2</w:t>
      </w:r>
      <w:r>
        <w:rPr>
          <w:rFonts w:hint="eastAsia"/>
          <w:sz w:val="24"/>
          <w:szCs w:val="24"/>
          <w:highlight w:val="none"/>
        </w:rPr>
        <w:t>.</w:t>
      </w:r>
      <w:r>
        <w:rPr>
          <w:sz w:val="24"/>
          <w:szCs w:val="24"/>
          <w:highlight w:val="none"/>
        </w:rPr>
        <w:t>1招标依据</w:t>
      </w:r>
      <w:r>
        <w:rPr>
          <w:sz w:val="24"/>
          <w:szCs w:val="24"/>
        </w:rPr>
        <w:tab/>
      </w:r>
      <w:r>
        <w:rPr>
          <w:sz w:val="24"/>
          <w:szCs w:val="24"/>
        </w:rPr>
        <w:fldChar w:fldCharType="begin"/>
      </w:r>
      <w:r>
        <w:rPr>
          <w:sz w:val="24"/>
          <w:szCs w:val="24"/>
        </w:rPr>
        <w:instrText xml:space="preserve"> PAGEREF _Toc27324 \h </w:instrText>
      </w:r>
      <w:r>
        <w:rPr>
          <w:sz w:val="24"/>
          <w:szCs w:val="24"/>
        </w:rPr>
        <w:fldChar w:fldCharType="separate"/>
      </w:r>
      <w:r>
        <w:rPr>
          <w:sz w:val="24"/>
          <w:szCs w:val="24"/>
        </w:rPr>
        <w:t>111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_Toc29846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2</w:t>
      </w:r>
      <w:r>
        <w:rPr>
          <w:sz w:val="24"/>
          <w:szCs w:val="24"/>
          <w:highlight w:val="none"/>
        </w:rPr>
        <w:t>.2项目概况</w:t>
      </w:r>
      <w:r>
        <w:rPr>
          <w:sz w:val="24"/>
          <w:szCs w:val="24"/>
        </w:rPr>
        <w:tab/>
      </w:r>
      <w:r>
        <w:rPr>
          <w:sz w:val="24"/>
          <w:szCs w:val="24"/>
        </w:rPr>
        <w:fldChar w:fldCharType="begin"/>
      </w:r>
      <w:r>
        <w:rPr>
          <w:sz w:val="24"/>
          <w:szCs w:val="24"/>
        </w:rPr>
        <w:instrText xml:space="preserve"> PAGEREF _Toc29846 \h </w:instrText>
      </w:r>
      <w:r>
        <w:rPr>
          <w:sz w:val="24"/>
          <w:szCs w:val="24"/>
        </w:rPr>
        <w:fldChar w:fldCharType="separate"/>
      </w:r>
      <w:r>
        <w:rPr>
          <w:sz w:val="24"/>
          <w:szCs w:val="24"/>
        </w:rPr>
        <w:t>111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_Toc25767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2</w:t>
      </w:r>
      <w:r>
        <w:rPr>
          <w:rFonts w:hint="eastAsia"/>
          <w:sz w:val="24"/>
          <w:szCs w:val="24"/>
          <w:highlight w:val="none"/>
        </w:rPr>
        <w:t>.</w:t>
      </w:r>
      <w:r>
        <w:rPr>
          <w:sz w:val="24"/>
          <w:szCs w:val="24"/>
          <w:highlight w:val="none"/>
        </w:rPr>
        <w:t>3招标的基本情况</w:t>
      </w:r>
      <w:r>
        <w:rPr>
          <w:sz w:val="24"/>
          <w:szCs w:val="24"/>
        </w:rPr>
        <w:tab/>
      </w:r>
      <w:r>
        <w:rPr>
          <w:sz w:val="24"/>
          <w:szCs w:val="24"/>
        </w:rPr>
        <w:fldChar w:fldCharType="begin"/>
      </w:r>
      <w:r>
        <w:rPr>
          <w:sz w:val="24"/>
          <w:szCs w:val="24"/>
        </w:rPr>
        <w:instrText xml:space="preserve"> PAGEREF _Toc25767 \h </w:instrText>
      </w:r>
      <w:r>
        <w:rPr>
          <w:sz w:val="24"/>
          <w:szCs w:val="24"/>
        </w:rPr>
        <w:fldChar w:fldCharType="separate"/>
      </w:r>
      <w:r>
        <w:rPr>
          <w:sz w:val="24"/>
          <w:szCs w:val="24"/>
        </w:rPr>
        <w:t>111</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_Toc20166 </w:instrText>
      </w:r>
      <w:r>
        <w:rPr>
          <w:rFonts w:hint="eastAsia" w:ascii="仿宋" w:hAnsi="仿宋" w:eastAsia="仿宋" w:cs="仿宋"/>
          <w:bCs/>
          <w:caps/>
          <w:smallCaps w:val="0"/>
          <w:sz w:val="24"/>
          <w:szCs w:val="22"/>
          <w:highlight w:val="none"/>
        </w:rPr>
        <w:fldChar w:fldCharType="separate"/>
      </w:r>
      <w:r>
        <w:rPr>
          <w:rFonts w:cs="Times New Roman"/>
          <w:sz w:val="24"/>
          <w:szCs w:val="32"/>
          <w:highlight w:val="none"/>
        </w:rPr>
        <w:t>第</w:t>
      </w:r>
      <w:r>
        <w:rPr>
          <w:rFonts w:hint="eastAsia" w:cs="Times New Roman"/>
          <w:sz w:val="24"/>
          <w:szCs w:val="32"/>
          <w:highlight w:val="none"/>
          <w:lang w:val="en-US" w:eastAsia="zh-CN"/>
        </w:rPr>
        <w:t>13</w:t>
      </w:r>
      <w:r>
        <w:rPr>
          <w:rFonts w:cs="Times New Roman"/>
          <w:sz w:val="24"/>
          <w:szCs w:val="32"/>
          <w:highlight w:val="none"/>
        </w:rPr>
        <w:t xml:space="preserve">章 </w:t>
      </w:r>
      <w:r>
        <w:rPr>
          <w:rFonts w:hint="eastAsia" w:cs="Times New Roman"/>
          <w:sz w:val="24"/>
          <w:szCs w:val="32"/>
          <w:highlight w:val="none"/>
          <w:lang w:val="en-US" w:eastAsia="zh-CN"/>
        </w:rPr>
        <w:t xml:space="preserve"> </w:t>
      </w:r>
      <w:r>
        <w:rPr>
          <w:rFonts w:cs="Times New Roman"/>
          <w:sz w:val="24"/>
          <w:szCs w:val="32"/>
          <w:highlight w:val="none"/>
        </w:rPr>
        <w:t>投资</w:t>
      </w:r>
      <w:r>
        <w:rPr>
          <w:rFonts w:hint="eastAsia" w:cs="Times New Roman"/>
          <w:sz w:val="24"/>
          <w:szCs w:val="32"/>
          <w:highlight w:val="none"/>
          <w:lang w:eastAsia="zh-CN"/>
        </w:rPr>
        <w:t>概算</w:t>
      </w:r>
      <w:r>
        <w:rPr>
          <w:rFonts w:cs="Times New Roman"/>
          <w:sz w:val="24"/>
          <w:szCs w:val="32"/>
          <w:highlight w:val="none"/>
        </w:rPr>
        <w:t>与资金筹措</w:t>
      </w:r>
      <w:r>
        <w:rPr>
          <w:sz w:val="24"/>
          <w:szCs w:val="24"/>
        </w:rPr>
        <w:tab/>
      </w:r>
      <w:r>
        <w:rPr>
          <w:sz w:val="24"/>
          <w:szCs w:val="24"/>
        </w:rPr>
        <w:fldChar w:fldCharType="begin"/>
      </w:r>
      <w:r>
        <w:rPr>
          <w:sz w:val="24"/>
          <w:szCs w:val="24"/>
        </w:rPr>
        <w:instrText xml:space="preserve"> PAGEREF _Toc20166 \h </w:instrText>
      </w:r>
      <w:r>
        <w:rPr>
          <w:sz w:val="24"/>
          <w:szCs w:val="24"/>
        </w:rPr>
        <w:fldChar w:fldCharType="separate"/>
      </w:r>
      <w:r>
        <w:rPr>
          <w:sz w:val="24"/>
          <w:szCs w:val="24"/>
        </w:rPr>
        <w:t>113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_Toc30689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3</w:t>
      </w:r>
      <w:r>
        <w:rPr>
          <w:sz w:val="24"/>
          <w:szCs w:val="24"/>
          <w:highlight w:val="none"/>
        </w:rPr>
        <w:t>.1</w:t>
      </w:r>
      <w:r>
        <w:rPr>
          <w:rFonts w:hint="eastAsia"/>
          <w:sz w:val="24"/>
          <w:szCs w:val="24"/>
          <w:highlight w:val="none"/>
          <w:lang w:eastAsia="zh-CN"/>
        </w:rPr>
        <w:t>概算</w:t>
      </w:r>
      <w:r>
        <w:rPr>
          <w:sz w:val="24"/>
          <w:szCs w:val="24"/>
          <w:highlight w:val="none"/>
        </w:rPr>
        <w:t>依据</w:t>
      </w:r>
      <w:r>
        <w:rPr>
          <w:sz w:val="24"/>
          <w:szCs w:val="24"/>
        </w:rPr>
        <w:tab/>
      </w:r>
      <w:r>
        <w:rPr>
          <w:sz w:val="24"/>
          <w:szCs w:val="24"/>
        </w:rPr>
        <w:fldChar w:fldCharType="begin"/>
      </w:r>
      <w:r>
        <w:rPr>
          <w:sz w:val="24"/>
          <w:szCs w:val="24"/>
        </w:rPr>
        <w:instrText xml:space="preserve"> PAGEREF _Toc30689 \h </w:instrText>
      </w:r>
      <w:r>
        <w:rPr>
          <w:sz w:val="24"/>
          <w:szCs w:val="24"/>
        </w:rPr>
        <w:fldChar w:fldCharType="separate"/>
      </w:r>
      <w:r>
        <w:rPr>
          <w:sz w:val="24"/>
          <w:szCs w:val="24"/>
        </w:rPr>
        <w:t>113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_Toc17113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1</w:t>
      </w:r>
      <w:r>
        <w:rPr>
          <w:rFonts w:hint="eastAsia"/>
          <w:sz w:val="24"/>
          <w:szCs w:val="24"/>
          <w:highlight w:val="none"/>
          <w:lang w:val="en-US" w:eastAsia="zh-CN"/>
        </w:rPr>
        <w:t>3</w:t>
      </w:r>
      <w:r>
        <w:rPr>
          <w:rFonts w:hint="eastAsia"/>
          <w:sz w:val="24"/>
          <w:szCs w:val="24"/>
          <w:highlight w:val="none"/>
        </w:rPr>
        <w:t>.</w:t>
      </w:r>
      <w:r>
        <w:rPr>
          <w:sz w:val="24"/>
          <w:szCs w:val="24"/>
          <w:highlight w:val="none"/>
        </w:rPr>
        <w:t>2</w:t>
      </w:r>
      <w:r>
        <w:rPr>
          <w:rFonts w:hint="eastAsia"/>
          <w:sz w:val="24"/>
          <w:szCs w:val="24"/>
          <w:highlight w:val="none"/>
          <w:lang w:eastAsia="zh-CN"/>
        </w:rPr>
        <w:t>概算</w:t>
      </w:r>
      <w:r>
        <w:rPr>
          <w:sz w:val="24"/>
          <w:szCs w:val="24"/>
          <w:highlight w:val="none"/>
        </w:rPr>
        <w:t>内容</w:t>
      </w:r>
      <w:r>
        <w:rPr>
          <w:sz w:val="24"/>
          <w:szCs w:val="24"/>
        </w:rPr>
        <w:tab/>
      </w:r>
      <w:r>
        <w:rPr>
          <w:sz w:val="24"/>
          <w:szCs w:val="24"/>
        </w:rPr>
        <w:fldChar w:fldCharType="begin"/>
      </w:r>
      <w:r>
        <w:rPr>
          <w:sz w:val="24"/>
          <w:szCs w:val="24"/>
        </w:rPr>
        <w:instrText xml:space="preserve"> PAGEREF _Toc17113 \h </w:instrText>
      </w:r>
      <w:r>
        <w:rPr>
          <w:sz w:val="24"/>
          <w:szCs w:val="24"/>
        </w:rPr>
        <w:fldChar w:fldCharType="separate"/>
      </w:r>
      <w:r>
        <w:rPr>
          <w:sz w:val="24"/>
          <w:szCs w:val="24"/>
        </w:rPr>
        <w:t>114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_Toc22788 </w:instrText>
      </w:r>
      <w:r>
        <w:rPr>
          <w:rFonts w:hint="eastAsia" w:ascii="仿宋" w:hAnsi="仿宋" w:eastAsia="仿宋" w:cs="仿宋"/>
          <w:bCs/>
          <w:caps/>
          <w:smallCaps w:val="0"/>
          <w:sz w:val="24"/>
          <w:szCs w:val="22"/>
          <w:highlight w:val="none"/>
        </w:rPr>
        <w:fldChar w:fldCharType="separate"/>
      </w:r>
      <w:r>
        <w:rPr>
          <w:sz w:val="24"/>
          <w:szCs w:val="24"/>
          <w:highlight w:val="none"/>
        </w:rPr>
        <w:t>1</w:t>
      </w:r>
      <w:r>
        <w:rPr>
          <w:rFonts w:hint="eastAsia"/>
          <w:sz w:val="24"/>
          <w:szCs w:val="24"/>
          <w:highlight w:val="none"/>
          <w:lang w:val="en-US" w:eastAsia="zh-CN"/>
        </w:rPr>
        <w:t>3</w:t>
      </w:r>
      <w:r>
        <w:rPr>
          <w:sz w:val="24"/>
          <w:szCs w:val="24"/>
          <w:highlight w:val="none"/>
        </w:rPr>
        <w:t>.3投资</w:t>
      </w:r>
      <w:r>
        <w:rPr>
          <w:rFonts w:hint="eastAsia"/>
          <w:sz w:val="24"/>
          <w:szCs w:val="24"/>
          <w:highlight w:val="none"/>
          <w:lang w:eastAsia="zh-CN"/>
        </w:rPr>
        <w:t>概算及资金来源</w:t>
      </w:r>
      <w:r>
        <w:rPr>
          <w:sz w:val="24"/>
          <w:szCs w:val="24"/>
        </w:rPr>
        <w:tab/>
      </w:r>
      <w:r>
        <w:rPr>
          <w:sz w:val="24"/>
          <w:szCs w:val="24"/>
        </w:rPr>
        <w:fldChar w:fldCharType="begin"/>
      </w:r>
      <w:r>
        <w:rPr>
          <w:sz w:val="24"/>
          <w:szCs w:val="24"/>
        </w:rPr>
        <w:instrText xml:space="preserve"> PAGEREF _Toc22788 \h </w:instrText>
      </w:r>
      <w:r>
        <w:rPr>
          <w:sz w:val="24"/>
          <w:szCs w:val="24"/>
        </w:rPr>
        <w:fldChar w:fldCharType="separate"/>
      </w:r>
      <w:r>
        <w:rPr>
          <w:sz w:val="24"/>
          <w:szCs w:val="24"/>
        </w:rPr>
        <w:t>115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_Toc4989 </w:instrText>
      </w:r>
      <w:r>
        <w:rPr>
          <w:rFonts w:hint="eastAsia" w:ascii="仿宋" w:hAnsi="仿宋" w:eastAsia="仿宋" w:cs="仿宋"/>
          <w:bCs/>
          <w:caps/>
          <w:smallCaps w:val="0"/>
          <w:sz w:val="24"/>
          <w:szCs w:val="22"/>
          <w:highlight w:val="none"/>
        </w:rPr>
        <w:fldChar w:fldCharType="separate"/>
      </w:r>
      <w:r>
        <w:rPr>
          <w:sz w:val="24"/>
          <w:szCs w:val="24"/>
          <w:highlight w:val="none"/>
        </w:rPr>
        <w:t>第1</w:t>
      </w:r>
      <w:r>
        <w:rPr>
          <w:rFonts w:hint="eastAsia"/>
          <w:sz w:val="24"/>
          <w:szCs w:val="24"/>
          <w:highlight w:val="none"/>
          <w:lang w:val="en-US" w:eastAsia="zh-CN"/>
        </w:rPr>
        <w:t>4</w:t>
      </w:r>
      <w:r>
        <w:rPr>
          <w:sz w:val="24"/>
          <w:szCs w:val="24"/>
          <w:highlight w:val="none"/>
        </w:rPr>
        <w:t xml:space="preserve">章 </w:t>
      </w:r>
      <w:r>
        <w:rPr>
          <w:rFonts w:hint="eastAsia"/>
          <w:sz w:val="24"/>
          <w:szCs w:val="24"/>
          <w:highlight w:val="none"/>
          <w:lang w:val="en-US" w:eastAsia="zh-CN"/>
        </w:rPr>
        <w:t xml:space="preserve"> </w:t>
      </w:r>
      <w:r>
        <w:rPr>
          <w:sz w:val="24"/>
          <w:szCs w:val="24"/>
          <w:highlight w:val="none"/>
        </w:rPr>
        <w:t>效益</w:t>
      </w:r>
      <w:r>
        <w:rPr>
          <w:rFonts w:hint="eastAsia"/>
          <w:sz w:val="24"/>
          <w:szCs w:val="24"/>
          <w:highlight w:val="none"/>
        </w:rPr>
        <w:t>分析</w:t>
      </w:r>
      <w:r>
        <w:rPr>
          <w:sz w:val="24"/>
          <w:szCs w:val="24"/>
        </w:rPr>
        <w:tab/>
      </w:r>
      <w:r>
        <w:rPr>
          <w:sz w:val="24"/>
          <w:szCs w:val="24"/>
        </w:rPr>
        <w:fldChar w:fldCharType="begin"/>
      </w:r>
      <w:r>
        <w:rPr>
          <w:sz w:val="24"/>
          <w:szCs w:val="24"/>
        </w:rPr>
        <w:instrText xml:space="preserve"> PAGEREF _Toc4989 \h </w:instrText>
      </w:r>
      <w:r>
        <w:rPr>
          <w:sz w:val="24"/>
          <w:szCs w:val="24"/>
        </w:rPr>
        <w:fldChar w:fldCharType="separate"/>
      </w:r>
      <w:r>
        <w:rPr>
          <w:sz w:val="24"/>
          <w:szCs w:val="24"/>
        </w:rPr>
        <w:t>120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_Toc1691 </w:instrText>
      </w:r>
      <w:r>
        <w:rPr>
          <w:rFonts w:hint="eastAsia" w:ascii="仿宋" w:hAnsi="仿宋" w:eastAsia="仿宋" w:cs="仿宋"/>
          <w:bCs/>
          <w:caps/>
          <w:smallCaps w:val="0"/>
          <w:sz w:val="24"/>
          <w:szCs w:val="22"/>
          <w:highlight w:val="none"/>
        </w:rPr>
        <w:fldChar w:fldCharType="separate"/>
      </w:r>
      <w:r>
        <w:rPr>
          <w:rFonts w:hint="eastAsia" w:hAnsi="黑体"/>
          <w:sz w:val="24"/>
          <w:szCs w:val="18"/>
          <w:highlight w:val="none"/>
        </w:rPr>
        <w:t>1</w:t>
      </w:r>
      <w:r>
        <w:rPr>
          <w:rFonts w:hint="eastAsia" w:hAnsi="黑体"/>
          <w:sz w:val="24"/>
          <w:szCs w:val="18"/>
          <w:highlight w:val="none"/>
          <w:lang w:val="en-US" w:eastAsia="zh-CN"/>
        </w:rPr>
        <w:t>4</w:t>
      </w:r>
      <w:r>
        <w:rPr>
          <w:rFonts w:hint="eastAsia" w:hAnsi="黑体"/>
          <w:sz w:val="24"/>
          <w:szCs w:val="18"/>
          <w:highlight w:val="none"/>
        </w:rPr>
        <w:t>.</w:t>
      </w:r>
      <w:r>
        <w:rPr>
          <w:rFonts w:hint="eastAsia" w:hAnsi="黑体"/>
          <w:sz w:val="24"/>
          <w:szCs w:val="18"/>
          <w:highlight w:val="none"/>
          <w:lang w:val="en-US" w:eastAsia="zh-CN"/>
        </w:rPr>
        <w:t>1</w:t>
      </w:r>
      <w:r>
        <w:rPr>
          <w:rFonts w:hint="eastAsia" w:hAnsi="黑体"/>
          <w:sz w:val="24"/>
          <w:szCs w:val="18"/>
          <w:highlight w:val="none"/>
        </w:rPr>
        <w:t>社会效益</w:t>
      </w:r>
      <w:r>
        <w:rPr>
          <w:sz w:val="24"/>
          <w:szCs w:val="24"/>
        </w:rPr>
        <w:tab/>
      </w:r>
      <w:r>
        <w:rPr>
          <w:sz w:val="24"/>
          <w:szCs w:val="24"/>
        </w:rPr>
        <w:fldChar w:fldCharType="begin"/>
      </w:r>
      <w:r>
        <w:rPr>
          <w:sz w:val="24"/>
          <w:szCs w:val="24"/>
        </w:rPr>
        <w:instrText xml:space="preserve"> PAGEREF _Toc1691 \h </w:instrText>
      </w:r>
      <w:r>
        <w:rPr>
          <w:sz w:val="24"/>
          <w:szCs w:val="24"/>
        </w:rPr>
        <w:fldChar w:fldCharType="separate"/>
      </w:r>
      <w:r>
        <w:rPr>
          <w:sz w:val="24"/>
          <w:szCs w:val="24"/>
        </w:rPr>
        <w:t>120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_Toc14676 </w:instrText>
      </w:r>
      <w:r>
        <w:rPr>
          <w:rFonts w:hint="eastAsia" w:ascii="仿宋" w:hAnsi="仿宋" w:eastAsia="仿宋" w:cs="仿宋"/>
          <w:bCs/>
          <w:caps/>
          <w:smallCaps w:val="0"/>
          <w:sz w:val="24"/>
          <w:szCs w:val="22"/>
          <w:highlight w:val="none"/>
        </w:rPr>
        <w:fldChar w:fldCharType="separate"/>
      </w:r>
      <w:r>
        <w:rPr>
          <w:rFonts w:hint="eastAsia" w:hAnsi="黑体"/>
          <w:sz w:val="24"/>
          <w:szCs w:val="18"/>
          <w:highlight w:val="none"/>
        </w:rPr>
        <w:t>1</w:t>
      </w:r>
      <w:r>
        <w:rPr>
          <w:rFonts w:hint="eastAsia" w:hAnsi="黑体"/>
          <w:sz w:val="24"/>
          <w:szCs w:val="18"/>
          <w:highlight w:val="none"/>
          <w:lang w:val="en-US" w:eastAsia="zh-CN"/>
        </w:rPr>
        <w:t>4</w:t>
      </w:r>
      <w:r>
        <w:rPr>
          <w:rFonts w:hint="eastAsia" w:hAnsi="黑体"/>
          <w:sz w:val="24"/>
          <w:szCs w:val="18"/>
          <w:highlight w:val="none"/>
        </w:rPr>
        <w:t>.</w:t>
      </w:r>
      <w:r>
        <w:rPr>
          <w:rFonts w:hint="eastAsia" w:hAnsi="黑体"/>
          <w:sz w:val="24"/>
          <w:szCs w:val="18"/>
          <w:highlight w:val="none"/>
          <w:lang w:val="en-US" w:eastAsia="zh-CN"/>
        </w:rPr>
        <w:t>2</w:t>
      </w:r>
      <w:r>
        <w:rPr>
          <w:rFonts w:hint="eastAsia" w:hAnsi="黑体"/>
          <w:sz w:val="24"/>
          <w:szCs w:val="18"/>
          <w:highlight w:val="none"/>
        </w:rPr>
        <w:t>经济效益</w:t>
      </w:r>
      <w:r>
        <w:rPr>
          <w:sz w:val="24"/>
          <w:szCs w:val="24"/>
        </w:rPr>
        <w:tab/>
      </w:r>
      <w:r>
        <w:rPr>
          <w:sz w:val="24"/>
          <w:szCs w:val="24"/>
        </w:rPr>
        <w:fldChar w:fldCharType="begin"/>
      </w:r>
      <w:r>
        <w:rPr>
          <w:sz w:val="24"/>
          <w:szCs w:val="24"/>
        </w:rPr>
        <w:instrText xml:space="preserve"> PAGEREF _Toc14676 \h </w:instrText>
      </w:r>
      <w:r>
        <w:rPr>
          <w:sz w:val="24"/>
          <w:szCs w:val="24"/>
        </w:rPr>
        <w:fldChar w:fldCharType="separate"/>
      </w:r>
      <w:r>
        <w:rPr>
          <w:sz w:val="24"/>
          <w:szCs w:val="24"/>
        </w:rPr>
        <w:t>120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27"/>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_Toc25053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rPr>
        <w:t>第</w:t>
      </w:r>
      <w:r>
        <w:rPr>
          <w:rFonts w:hint="eastAsia"/>
          <w:sz w:val="24"/>
          <w:szCs w:val="24"/>
          <w:highlight w:val="none"/>
          <w:lang w:val="en-US" w:eastAsia="zh-CN"/>
        </w:rPr>
        <w:t>15</w:t>
      </w:r>
      <w:r>
        <w:rPr>
          <w:rFonts w:hint="eastAsia"/>
          <w:sz w:val="24"/>
          <w:szCs w:val="24"/>
          <w:highlight w:val="none"/>
        </w:rPr>
        <w:t xml:space="preserve">章 </w:t>
      </w:r>
      <w:r>
        <w:rPr>
          <w:rFonts w:hint="eastAsia"/>
          <w:sz w:val="24"/>
          <w:szCs w:val="24"/>
          <w:highlight w:val="none"/>
          <w:lang w:val="en-US" w:eastAsia="zh-CN"/>
        </w:rPr>
        <w:t xml:space="preserve"> </w:t>
      </w:r>
      <w:r>
        <w:rPr>
          <w:rFonts w:hint="eastAsia"/>
          <w:sz w:val="24"/>
          <w:szCs w:val="24"/>
          <w:highlight w:val="none"/>
        </w:rPr>
        <w:t>项目组织管理与</w:t>
      </w:r>
      <w:r>
        <w:rPr>
          <w:rFonts w:hint="eastAsia"/>
          <w:sz w:val="24"/>
          <w:szCs w:val="24"/>
          <w:highlight w:val="none"/>
          <w:lang w:val="en-US" w:eastAsia="zh-CN"/>
        </w:rPr>
        <w:t>运行机制</w:t>
      </w:r>
      <w:r>
        <w:rPr>
          <w:sz w:val="24"/>
          <w:szCs w:val="24"/>
        </w:rPr>
        <w:tab/>
      </w:r>
      <w:r>
        <w:rPr>
          <w:sz w:val="24"/>
          <w:szCs w:val="24"/>
        </w:rPr>
        <w:fldChar w:fldCharType="begin"/>
      </w:r>
      <w:r>
        <w:rPr>
          <w:sz w:val="24"/>
          <w:szCs w:val="24"/>
        </w:rPr>
        <w:instrText xml:space="preserve"> PAGEREF _Toc25053 \h </w:instrText>
      </w:r>
      <w:r>
        <w:rPr>
          <w:sz w:val="24"/>
          <w:szCs w:val="24"/>
        </w:rPr>
        <w:fldChar w:fldCharType="separate"/>
      </w:r>
      <w:r>
        <w:rPr>
          <w:sz w:val="24"/>
          <w:szCs w:val="24"/>
        </w:rPr>
        <w:t>124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_Toc14170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15.1项目组织管理</w:t>
      </w:r>
      <w:r>
        <w:rPr>
          <w:sz w:val="24"/>
          <w:szCs w:val="24"/>
        </w:rPr>
        <w:tab/>
      </w:r>
      <w:r>
        <w:rPr>
          <w:sz w:val="24"/>
          <w:szCs w:val="24"/>
        </w:rPr>
        <w:fldChar w:fldCharType="begin"/>
      </w:r>
      <w:r>
        <w:rPr>
          <w:sz w:val="24"/>
          <w:szCs w:val="24"/>
        </w:rPr>
        <w:instrText xml:space="preserve"> PAGEREF _Toc14170 \h </w:instrText>
      </w:r>
      <w:r>
        <w:rPr>
          <w:sz w:val="24"/>
          <w:szCs w:val="24"/>
        </w:rPr>
        <w:fldChar w:fldCharType="separate"/>
      </w:r>
      <w:r>
        <w:rPr>
          <w:sz w:val="24"/>
          <w:szCs w:val="24"/>
        </w:rPr>
        <w:t>124</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_Toc22024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15</w:t>
      </w:r>
      <w:r>
        <w:rPr>
          <w:rFonts w:hint="eastAsia"/>
          <w:sz w:val="24"/>
          <w:szCs w:val="24"/>
          <w:highlight w:val="none"/>
        </w:rPr>
        <w:t>.</w:t>
      </w:r>
      <w:r>
        <w:rPr>
          <w:rFonts w:hint="eastAsia"/>
          <w:sz w:val="24"/>
          <w:szCs w:val="24"/>
          <w:highlight w:val="none"/>
          <w:lang w:val="en-US" w:eastAsia="zh-CN"/>
        </w:rPr>
        <w:t>2项目资产的权属</w:t>
      </w:r>
      <w:r>
        <w:rPr>
          <w:sz w:val="24"/>
          <w:szCs w:val="24"/>
        </w:rPr>
        <w:tab/>
      </w:r>
      <w:r>
        <w:rPr>
          <w:sz w:val="24"/>
          <w:szCs w:val="24"/>
        </w:rPr>
        <w:fldChar w:fldCharType="begin"/>
      </w:r>
      <w:r>
        <w:rPr>
          <w:sz w:val="24"/>
          <w:szCs w:val="24"/>
        </w:rPr>
        <w:instrText xml:space="preserve"> PAGEREF _Toc22024 \h </w:instrText>
      </w:r>
      <w:r>
        <w:rPr>
          <w:sz w:val="24"/>
          <w:szCs w:val="24"/>
        </w:rPr>
        <w:fldChar w:fldCharType="separate"/>
      </w:r>
      <w:r>
        <w:rPr>
          <w:sz w:val="24"/>
          <w:szCs w:val="24"/>
        </w:rPr>
        <w:t>130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_Toc14139 </w:instrText>
      </w:r>
      <w:r>
        <w:rPr>
          <w:rFonts w:hint="eastAsia" w:ascii="仿宋" w:hAnsi="仿宋" w:eastAsia="仿宋" w:cs="仿宋"/>
          <w:bCs/>
          <w:caps/>
          <w:smallCaps w:val="0"/>
          <w:sz w:val="24"/>
          <w:szCs w:val="22"/>
          <w:highlight w:val="none"/>
        </w:rPr>
        <w:fldChar w:fldCharType="separate"/>
      </w:r>
      <w:r>
        <w:rPr>
          <w:rFonts w:hint="eastAsia" w:cs="Times New Roman"/>
          <w:bCs/>
          <w:sz w:val="24"/>
          <w:szCs w:val="24"/>
          <w:highlight w:val="none"/>
          <w:lang w:val="en-US" w:eastAsia="zh-CN"/>
        </w:rPr>
        <w:t>15.3项目联农带农机制</w:t>
      </w:r>
      <w:r>
        <w:rPr>
          <w:sz w:val="24"/>
          <w:szCs w:val="24"/>
        </w:rPr>
        <w:tab/>
      </w:r>
      <w:r>
        <w:rPr>
          <w:sz w:val="24"/>
          <w:szCs w:val="24"/>
        </w:rPr>
        <w:fldChar w:fldCharType="begin"/>
      </w:r>
      <w:r>
        <w:rPr>
          <w:sz w:val="24"/>
          <w:szCs w:val="24"/>
        </w:rPr>
        <w:instrText xml:space="preserve"> PAGEREF _Toc14139 \h </w:instrText>
      </w:r>
      <w:r>
        <w:rPr>
          <w:sz w:val="24"/>
          <w:szCs w:val="24"/>
        </w:rPr>
        <w:fldChar w:fldCharType="separate"/>
      </w:r>
      <w:r>
        <w:rPr>
          <w:sz w:val="24"/>
          <w:szCs w:val="24"/>
        </w:rPr>
        <w:t>130</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_Toc19423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15.4运营模式</w:t>
      </w:r>
      <w:r>
        <w:rPr>
          <w:sz w:val="24"/>
          <w:szCs w:val="24"/>
        </w:rPr>
        <w:tab/>
      </w:r>
      <w:r>
        <w:rPr>
          <w:sz w:val="24"/>
          <w:szCs w:val="24"/>
        </w:rPr>
        <w:fldChar w:fldCharType="begin"/>
      </w:r>
      <w:r>
        <w:rPr>
          <w:sz w:val="24"/>
          <w:szCs w:val="24"/>
        </w:rPr>
        <w:instrText xml:space="preserve"> PAGEREF _Toc19423 \h </w:instrText>
      </w:r>
      <w:r>
        <w:rPr>
          <w:sz w:val="24"/>
          <w:szCs w:val="24"/>
        </w:rPr>
        <w:fldChar w:fldCharType="separate"/>
      </w:r>
      <w:r>
        <w:rPr>
          <w:sz w:val="24"/>
          <w:szCs w:val="24"/>
        </w:rPr>
        <w:t>132</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rPr>
          <w:sz w:val="24"/>
          <w:szCs w:val="24"/>
        </w:rPr>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_Toc21865 </w:instrText>
      </w:r>
      <w:r>
        <w:rPr>
          <w:rFonts w:hint="eastAsia" w:ascii="仿宋" w:hAnsi="仿宋" w:eastAsia="仿宋" w:cs="仿宋"/>
          <w:bCs/>
          <w:caps/>
          <w:smallCaps w:val="0"/>
          <w:sz w:val="24"/>
          <w:szCs w:val="22"/>
          <w:highlight w:val="none"/>
        </w:rPr>
        <w:fldChar w:fldCharType="separate"/>
      </w:r>
      <w:r>
        <w:rPr>
          <w:rFonts w:hint="eastAsia"/>
          <w:sz w:val="24"/>
          <w:szCs w:val="24"/>
          <w:highlight w:val="none"/>
          <w:lang w:val="en-US" w:eastAsia="zh-CN"/>
        </w:rPr>
        <w:t>15.5项目保障措施</w:t>
      </w:r>
      <w:r>
        <w:rPr>
          <w:sz w:val="24"/>
          <w:szCs w:val="24"/>
        </w:rPr>
        <w:tab/>
      </w:r>
      <w:r>
        <w:rPr>
          <w:sz w:val="24"/>
          <w:szCs w:val="24"/>
        </w:rPr>
        <w:fldChar w:fldCharType="begin"/>
      </w:r>
      <w:r>
        <w:rPr>
          <w:sz w:val="24"/>
          <w:szCs w:val="24"/>
        </w:rPr>
        <w:instrText xml:space="preserve"> PAGEREF _Toc21865 \h </w:instrText>
      </w:r>
      <w:r>
        <w:rPr>
          <w:sz w:val="24"/>
          <w:szCs w:val="24"/>
        </w:rPr>
        <w:fldChar w:fldCharType="separate"/>
      </w:r>
      <w:r>
        <w:rPr>
          <w:sz w:val="24"/>
          <w:szCs w:val="24"/>
        </w:rPr>
        <w:t>133</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72"/>
        </w:tabs>
        <w:kinsoku/>
        <w:wordWrap/>
        <w:overflowPunct/>
        <w:topLinePunct w:val="0"/>
        <w:autoSpaceDE/>
        <w:autoSpaceDN/>
        <w:bidi w:val="0"/>
        <w:adjustRightInd/>
        <w:snapToGrid/>
        <w:spacing w:line="240" w:lineRule="auto"/>
        <w:textAlignment w:val="auto"/>
      </w:pP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begin"/>
      </w:r>
      <w:r>
        <w:rPr>
          <w:rFonts w:hint="eastAsia" w:ascii="仿宋" w:hAnsi="仿宋" w:eastAsia="仿宋" w:cs="仿宋"/>
          <w:bCs/>
          <w:caps/>
          <w:smallCaps w:val="0"/>
          <w:sz w:val="24"/>
          <w:szCs w:val="22"/>
          <w:highlight w:val="none"/>
        </w:rPr>
        <w:instrText xml:space="preserve"> HYPERLINK \l _Toc20956 </w:instrText>
      </w:r>
      <w:r>
        <w:rPr>
          <w:rFonts w:hint="eastAsia" w:ascii="仿宋" w:hAnsi="仿宋" w:eastAsia="仿宋" w:cs="仿宋"/>
          <w:bCs/>
          <w:caps/>
          <w:smallCaps w:val="0"/>
          <w:sz w:val="24"/>
          <w:szCs w:val="22"/>
          <w:highlight w:val="none"/>
        </w:rPr>
        <w:fldChar w:fldCharType="separate"/>
      </w:r>
      <w:r>
        <w:rPr>
          <w:rFonts w:hint="eastAsia"/>
          <w:bCs/>
          <w:sz w:val="24"/>
          <w:szCs w:val="24"/>
          <w:highlight w:val="none"/>
          <w:lang w:val="en-US" w:eastAsia="zh-CN"/>
        </w:rPr>
        <w:t>15.5项目绩效目标</w:t>
      </w:r>
      <w:r>
        <w:rPr>
          <w:sz w:val="24"/>
          <w:szCs w:val="24"/>
        </w:rPr>
        <w:tab/>
      </w:r>
      <w:r>
        <w:rPr>
          <w:sz w:val="24"/>
          <w:szCs w:val="24"/>
        </w:rPr>
        <w:fldChar w:fldCharType="begin"/>
      </w:r>
      <w:r>
        <w:rPr>
          <w:sz w:val="24"/>
          <w:szCs w:val="24"/>
        </w:rPr>
        <w:instrText xml:space="preserve"> PAGEREF _Toc20956 \h </w:instrText>
      </w:r>
      <w:r>
        <w:rPr>
          <w:sz w:val="24"/>
          <w:szCs w:val="24"/>
        </w:rPr>
        <w:fldChar w:fldCharType="separate"/>
      </w:r>
      <w:r>
        <w:rPr>
          <w:sz w:val="24"/>
          <w:szCs w:val="24"/>
        </w:rPr>
        <w:t>135</w:t>
      </w:r>
      <w:r>
        <w:rPr>
          <w:sz w:val="24"/>
          <w:szCs w:val="24"/>
        </w:rPr>
        <w:fldChar w:fldCharType="end"/>
      </w:r>
      <w:r>
        <w:rPr>
          <w:rFonts w:hint="eastAsia" w:ascii="仿宋" w:hAnsi="仿宋" w:eastAsia="仿宋" w:cs="仿宋"/>
          <w:bCs/>
          <w:caps/>
          <w:smallCaps w:val="0"/>
          <w:color w:val="000000" w:themeColor="text1"/>
          <w:sz w:val="24"/>
          <w:szCs w:val="22"/>
          <w:highlight w:val="none"/>
          <w14:textFill>
            <w14:solidFill>
              <w14:schemeClr w14:val="tx1"/>
            </w14:solidFill>
          </w14:textFill>
        </w:rPr>
        <w:fldChar w:fldCharType="end"/>
      </w:r>
    </w:p>
    <w:p>
      <w:pPr>
        <w:pStyle w:val="33"/>
        <w:keepNext w:val="0"/>
        <w:keepLines w:val="0"/>
        <w:pageBreakBefore w:val="0"/>
        <w:widowControl w:val="0"/>
        <w:tabs>
          <w:tab w:val="right" w:leader="dot" w:pos="9061"/>
        </w:tabs>
        <w:kinsoku/>
        <w:wordWrap/>
        <w:overflowPunct/>
        <w:topLinePunct w:val="0"/>
        <w:autoSpaceDE/>
        <w:autoSpaceDN/>
        <w:bidi w:val="0"/>
        <w:adjustRightInd/>
        <w:snapToGrid/>
        <w:spacing w:line="300" w:lineRule="exact"/>
        <w:ind w:left="210" w:firstLine="560"/>
        <w:jc w:val="center"/>
        <w:textAlignment w:val="auto"/>
        <w:rPr>
          <w:rFonts w:hint="eastAsia" w:ascii="仿宋" w:hAnsi="仿宋" w:eastAsia="仿宋" w:cs="仿宋"/>
          <w:color w:val="000000" w:themeColor="text1"/>
          <w:sz w:val="24"/>
          <w:szCs w:val="24"/>
          <w:highlight w:val="none"/>
          <w14:textFill>
            <w14:solidFill>
              <w14:schemeClr w14:val="tx1"/>
            </w14:solidFill>
          </w14:textFill>
        </w:rPr>
        <w:sectPr>
          <w:headerReference r:id="rId5" w:type="default"/>
          <w:footerReference r:id="rId6" w:type="default"/>
          <w:pgSz w:w="11906" w:h="16838"/>
          <w:pgMar w:top="1417" w:right="1417" w:bottom="1417" w:left="1417" w:header="851" w:footer="992" w:gutter="0"/>
          <w:pgBorders w:offsetFrom="page">
            <w:top w:val="none" w:sz="0" w:space="0"/>
            <w:left w:val="none" w:sz="0" w:space="0"/>
            <w:bottom w:val="none" w:sz="0" w:space="0"/>
            <w:right w:val="none" w:sz="0" w:space="0"/>
          </w:pgBorders>
          <w:pgNumType w:fmt="upperRoman" w:start="1"/>
          <w:cols w:space="720" w:num="1"/>
          <w:rtlGutter w:val="0"/>
          <w:docGrid w:type="lines" w:linePitch="326" w:charSpace="0"/>
        </w:sectPr>
      </w:pPr>
      <w:r>
        <w:rPr>
          <w:rFonts w:hint="eastAsia" w:ascii="仿宋" w:hAnsi="仿宋" w:eastAsia="仿宋" w:cs="仿宋"/>
          <w:bCs/>
          <w:caps/>
          <w:smallCaps w:val="0"/>
          <w:color w:val="000000" w:themeColor="text1"/>
          <w:szCs w:val="24"/>
          <w:highlight w:val="none"/>
          <w14:textFill>
            <w14:solidFill>
              <w14:schemeClr w14:val="tx1"/>
            </w14:solidFill>
          </w14:textFill>
        </w:rPr>
        <w:fldChar w:fldCharType="end"/>
      </w:r>
      <w:bookmarkEnd w:id="0"/>
      <w:bookmarkEnd w:id="1"/>
      <w:bookmarkEnd w:id="2"/>
      <w:bookmarkEnd w:id="3"/>
      <w:bookmarkEnd w:id="4"/>
      <w:bookmarkEnd w:id="5"/>
      <w:bookmarkEnd w:id="6"/>
    </w:p>
    <w:p>
      <w:pPr>
        <w:pStyle w:val="2"/>
        <w:rPr>
          <w:rFonts w:hint="eastAsia" w:eastAsia="方正大标宋简体"/>
          <w:color w:val="000000" w:themeColor="text1"/>
          <w:highlight w:val="none"/>
          <w:lang w:val="en-US" w:eastAsia="zh-CN"/>
          <w14:textFill>
            <w14:solidFill>
              <w14:schemeClr w14:val="tx1"/>
            </w14:solidFill>
          </w14:textFill>
        </w:rPr>
      </w:pPr>
      <w:bookmarkStart w:id="7" w:name="_Toc30901"/>
      <w:r>
        <w:rPr>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 xml:space="preserve">章  </w:t>
      </w:r>
      <w:r>
        <w:rPr>
          <w:rFonts w:hint="eastAsia"/>
          <w:color w:val="000000" w:themeColor="text1"/>
          <w:highlight w:val="none"/>
          <w:lang w:val="en-US" w:eastAsia="zh-CN"/>
          <w14:textFill>
            <w14:solidFill>
              <w14:schemeClr w14:val="tx1"/>
            </w14:solidFill>
          </w14:textFill>
        </w:rPr>
        <w:t>总  论</w:t>
      </w:r>
      <w:bookmarkEnd w:id="7"/>
    </w:p>
    <w:p>
      <w:pP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项目名称：</w:t>
      </w:r>
      <w:r>
        <w:rPr>
          <w:rFonts w:hint="eastAsia"/>
          <w:color w:val="000000" w:themeColor="text1"/>
          <w:szCs w:val="28"/>
          <w:highlight w:val="none"/>
          <w:lang w:val="zh-CN"/>
          <w14:textFill>
            <w14:solidFill>
              <w14:schemeClr w14:val="tx1"/>
            </w14:solidFill>
          </w14:textFill>
        </w:rPr>
        <w:t>囊谦县黑青稞</w:t>
      </w:r>
      <w:r>
        <w:rPr>
          <w:rFonts w:hint="eastAsia"/>
          <w:color w:val="000000" w:themeColor="text1"/>
          <w:szCs w:val="28"/>
          <w:highlight w:val="none"/>
          <w:lang w:val="en-US" w:eastAsia="zh-CN"/>
          <w14:textFill>
            <w14:solidFill>
              <w14:schemeClr w14:val="tx1"/>
            </w14:solidFill>
          </w14:textFill>
        </w:rPr>
        <w:t>啤酒生产线引进采购安装项目</w:t>
      </w:r>
    </w:p>
    <w:p>
      <w:pPr>
        <w:rPr>
          <w:rFonts w:hint="eastAsia" w:ascii="仿宋" w:hAnsi="仿宋" w:eastAsia="仿宋" w:cs="宋体"/>
          <w:color w:val="000000" w:themeColor="text1"/>
          <w:szCs w:val="28"/>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建设单位：</w:t>
      </w:r>
      <w:r>
        <w:rPr>
          <w:rFonts w:hint="eastAsia" w:ascii="仿宋" w:hAnsi="仿宋" w:eastAsia="仿宋" w:cs="宋体"/>
          <w:color w:val="000000" w:themeColor="text1"/>
          <w:szCs w:val="28"/>
          <w:lang w:val="en-US" w:eastAsia="zh-CN"/>
          <w14:textFill>
            <w14:solidFill>
              <w14:schemeClr w14:val="tx1"/>
            </w14:solidFill>
          </w14:textFill>
        </w:rPr>
        <w:t>囊谦县乡村振兴局</w:t>
      </w:r>
    </w:p>
    <w:p>
      <w:pPr>
        <w:rPr>
          <w:rFonts w:hint="eastAsia" w:eastAsia="仿宋"/>
          <w:color w:val="000000" w:themeColor="text1"/>
          <w:highlight w:val="none"/>
          <w:lang w:eastAsia="zh-CN"/>
          <w14:textFill>
            <w14:solidFill>
              <w14:schemeClr w14:val="tx1"/>
            </w14:solidFill>
          </w14:textFill>
        </w:rPr>
      </w:pPr>
      <w:r>
        <w:rPr>
          <w:rFonts w:hint="eastAsia"/>
          <w:b/>
          <w:bCs/>
          <w:color w:val="000000" w:themeColor="text1"/>
          <w:highlight w:val="none"/>
          <w14:textFill>
            <w14:solidFill>
              <w14:schemeClr w14:val="tx1"/>
            </w14:solidFill>
          </w14:textFill>
        </w:rPr>
        <w:t>建设性质：</w:t>
      </w:r>
      <w:r>
        <w:rPr>
          <w:rFonts w:hint="eastAsia"/>
          <w:color w:val="000000" w:themeColor="text1"/>
          <w:highlight w:val="none"/>
          <w:lang w:eastAsia="zh-CN"/>
          <w14:textFill>
            <w14:solidFill>
              <w14:schemeClr w14:val="tx1"/>
            </w14:solidFill>
          </w14:textFill>
        </w:rPr>
        <w:t>改造</w:t>
      </w:r>
    </w:p>
    <w:p>
      <w:pPr>
        <w:pStyle w:val="3"/>
        <w:spacing w:before="192" w:after="216"/>
        <w:rPr>
          <w:color w:val="000000" w:themeColor="text1"/>
          <w:highlight w:val="none"/>
          <w14:textFill>
            <w14:solidFill>
              <w14:schemeClr w14:val="tx1"/>
            </w14:solidFill>
          </w14:textFill>
        </w:rPr>
      </w:pPr>
      <w:bookmarkStart w:id="8" w:name="_Toc31051"/>
      <w:bookmarkStart w:id="9" w:name="_Toc25522"/>
      <w:r>
        <w:rPr>
          <w:color w:val="000000" w:themeColor="text1"/>
          <w:highlight w:val="none"/>
          <w14:textFill>
            <w14:solidFill>
              <w14:schemeClr w14:val="tx1"/>
            </w14:solidFill>
          </w14:textFill>
        </w:rPr>
        <w:t>1.1项目背景</w:t>
      </w:r>
      <w:bookmarkEnd w:id="8"/>
      <w:bookmarkEnd w:id="9"/>
    </w:p>
    <w:p>
      <w:pPr>
        <w:ind w:firstLine="560"/>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乡</w:t>
      </w:r>
      <w:r>
        <w:rPr>
          <w:rFonts w:hint="eastAsia" w:ascii="仿宋" w:hAnsi="仿宋" w:eastAsia="仿宋" w:cs="仿宋"/>
          <w:color w:val="000000" w:themeColor="text1"/>
          <w:sz w:val="28"/>
          <w:szCs w:val="28"/>
          <w:lang w:val="zh-CN"/>
          <w14:textFill>
            <w14:solidFill>
              <w14:schemeClr w14:val="tx1"/>
            </w14:solidFill>
          </w14:textFill>
        </w:rPr>
        <w:t>村振兴，产业振兴</w:t>
      </w:r>
      <w:r>
        <w:rPr>
          <w:rFonts w:hint="default" w:ascii="仿宋" w:hAnsi="仿宋" w:eastAsia="仿宋" w:cs="仿宋"/>
          <w:color w:val="000000" w:themeColor="text1"/>
          <w:sz w:val="28"/>
          <w:szCs w:val="28"/>
          <w:lang w:val="zh-CN"/>
          <w14:textFill>
            <w14:solidFill>
              <w14:schemeClr w14:val="tx1"/>
            </w14:solidFill>
          </w14:textFill>
        </w:rPr>
        <w:t>是基础。</w:t>
      </w:r>
      <w:r>
        <w:rPr>
          <w:rFonts w:hint="eastAsia" w:ascii="仿宋" w:hAnsi="仿宋" w:eastAsia="仿宋" w:cs="仿宋"/>
          <w:color w:val="000000" w:themeColor="text1"/>
          <w:sz w:val="28"/>
          <w:szCs w:val="28"/>
          <w:lang w:val="zh-CN"/>
          <w14:textFill>
            <w14:solidFill>
              <w14:schemeClr w14:val="tx1"/>
            </w14:solidFill>
          </w14:textFill>
        </w:rPr>
        <w:t>中央农村工作会议指出“要加快发展乡村产业，顺应产业发展规律，</w:t>
      </w:r>
      <w:r>
        <w:rPr>
          <w:rFonts w:hint="eastAsia" w:ascii="仿宋" w:hAnsi="仿宋" w:eastAsia="仿宋" w:cs="仿宋"/>
          <w:color w:val="000000" w:themeColor="text1"/>
          <w:sz w:val="28"/>
          <w:szCs w:val="28"/>
          <w:lang w:val="en-US" w:eastAsia="zh-CN"/>
          <w14:textFill>
            <w14:solidFill>
              <w14:schemeClr w14:val="tx1"/>
            </w14:solidFill>
          </w14:textFill>
        </w:rPr>
        <w:t>立足</w:t>
      </w:r>
      <w:r>
        <w:rPr>
          <w:rFonts w:hint="eastAsia" w:ascii="仿宋" w:hAnsi="仿宋" w:eastAsia="仿宋" w:cs="仿宋"/>
          <w:color w:val="000000" w:themeColor="text1"/>
          <w:sz w:val="28"/>
          <w:szCs w:val="28"/>
          <w:lang w:val="zh-CN"/>
          <w14:textFill>
            <w14:solidFill>
              <w14:schemeClr w14:val="tx1"/>
            </w14:solidFill>
          </w14:textFill>
        </w:rPr>
        <w:t>当地特色资源，推动乡村产业发展壮大，优化产业布局，完善利益联结机制，让农民更多分享产业增值收益。因地制宜发展特色产业，大力推动一二三产业融合发展，不断延伸产业链、打造供应链、提升价值链，走出一条科学有效、农民受益的产业发展之路，为实现乡村振兴注入强劲动能”。</w:t>
      </w:r>
    </w:p>
    <w:p>
      <w:pPr>
        <w:ind w:firstLine="56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青稞是藏区的第一大农作物，青稞生产与藏区社会稳定息息相关，发展青稞产业意义重大。青稞是青海农牧业的主导产业之一，推动青稞产业高质量发展</w:t>
      </w:r>
      <w:r>
        <w:rPr>
          <w:rFonts w:hint="eastAsia" w:ascii="仿宋" w:hAnsi="仿宋" w:eastAsia="仿宋" w:cs="仿宋"/>
          <w:color w:val="000000" w:themeColor="text1"/>
          <w:sz w:val="28"/>
          <w:szCs w:val="28"/>
          <w:lang w:val="en-US" w:eastAsia="zh-CN"/>
          <w14:textFill>
            <w14:solidFill>
              <w14:schemeClr w14:val="tx1"/>
            </w14:solidFill>
          </w14:textFill>
        </w:rPr>
        <w:t>是</w:t>
      </w:r>
      <w:r>
        <w:rPr>
          <w:rFonts w:hint="eastAsia" w:ascii="仿宋" w:hAnsi="仿宋" w:eastAsia="仿宋" w:cs="仿宋"/>
          <w:color w:val="000000" w:themeColor="text1"/>
          <w:sz w:val="28"/>
          <w:szCs w:val="28"/>
          <w:lang w:val="zh-CN"/>
          <w14:textFill>
            <w14:solidFill>
              <w14:schemeClr w14:val="tx1"/>
            </w14:solidFill>
          </w14:textFill>
        </w:rPr>
        <w:t>青稞产业发展的必然之路。青稞生产的丰欠直接关系到广大藏区群众的温饱和农牧民群众的经济收益。受历史和地理环境等因素制约，青海</w:t>
      </w:r>
      <w:r>
        <w:rPr>
          <w:rFonts w:hint="eastAsia" w:ascii="仿宋" w:hAnsi="仿宋" w:eastAsia="仿宋" w:cs="仿宋"/>
          <w:color w:val="000000" w:themeColor="text1"/>
          <w:sz w:val="28"/>
          <w:szCs w:val="28"/>
          <w:lang w:val="en-US" w:eastAsia="zh-CN"/>
          <w14:textFill>
            <w14:solidFill>
              <w14:schemeClr w14:val="tx1"/>
            </w14:solidFill>
          </w14:textFill>
        </w:rPr>
        <w:t>省</w:t>
      </w:r>
      <w:r>
        <w:rPr>
          <w:rFonts w:hint="eastAsia" w:ascii="仿宋" w:hAnsi="仿宋" w:eastAsia="仿宋" w:cs="仿宋"/>
          <w:color w:val="000000" w:themeColor="text1"/>
          <w:sz w:val="28"/>
          <w:szCs w:val="28"/>
          <w:lang w:val="zh-CN"/>
          <w14:textFill>
            <w14:solidFill>
              <w14:schemeClr w14:val="tx1"/>
            </w14:solidFill>
          </w14:textFill>
        </w:rPr>
        <w:t>青稞资源长期得不到有效的开发利用，大部分仍停留在初级加工阶段，资源优势迟迟未能转化为经济优势，没有形成规模化、企业化生产，多处于产业链源头和资源集约开发、附加值低。</w:t>
      </w:r>
    </w:p>
    <w:p>
      <w:pPr>
        <w:ind w:firstLine="560"/>
        <w:rPr>
          <w:rFonts w:hint="eastAsia" w:ascii="仿宋" w:hAnsi="仿宋" w:eastAsia="仿宋" w:cs="仿宋"/>
          <w:color w:val="000000" w:themeColor="text1"/>
          <w:sz w:val="28"/>
          <w:szCs w:val="28"/>
          <w:lang w:val="zh-CN"/>
          <w14:textFill>
            <w14:solidFill>
              <w14:schemeClr w14:val="tx1"/>
            </w14:solidFill>
          </w14:textFill>
        </w:rPr>
      </w:pPr>
      <w:r>
        <w:rPr>
          <w:rFonts w:hint="eastAsia"/>
          <w:color w:val="000000" w:themeColor="text1"/>
          <w:highlight w:val="none"/>
          <w14:textFill>
            <w14:solidFill>
              <w14:schemeClr w14:val="tx1"/>
            </w14:solidFill>
          </w14:textFill>
        </w:rPr>
        <w:t>青海省委、省政府从乡村振兴战略、区域经济发展、农</w:t>
      </w:r>
      <w:r>
        <w:rPr>
          <w:rFonts w:hint="eastAsia"/>
          <w:color w:val="000000" w:themeColor="text1"/>
          <w:highlight w:val="none"/>
          <w:lang w:val="en-US" w:eastAsia="zh-CN"/>
          <w14:textFill>
            <w14:solidFill>
              <w14:schemeClr w14:val="tx1"/>
            </w14:solidFill>
          </w14:textFill>
        </w:rPr>
        <w:t>牧业</w:t>
      </w:r>
      <w:r>
        <w:rPr>
          <w:rFonts w:hint="eastAsia"/>
          <w:color w:val="000000" w:themeColor="text1"/>
          <w:highlight w:val="none"/>
          <w14:textFill>
            <w14:solidFill>
              <w14:schemeClr w14:val="tx1"/>
            </w14:solidFill>
          </w14:textFill>
        </w:rPr>
        <w:t>高质量发展的高度，对青稞产业发展进行顶层设计</w:t>
      </w:r>
      <w:r>
        <w:rPr>
          <w:rFonts w:hint="eastAsia"/>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出台了一系列扶持政策支持青稞产业高质量发展。《青海省国民经济和社会发展第十四个五年规划和二○三五年远景目标纲要》</w:t>
      </w:r>
      <w:r>
        <w:rPr>
          <w:rFonts w:hint="eastAsia" w:ascii="仿宋" w:hAnsi="仿宋" w:eastAsia="仿宋" w:cs="仿宋"/>
          <w:color w:val="000000" w:themeColor="text1"/>
          <w:sz w:val="28"/>
          <w:szCs w:val="28"/>
          <w:lang w:val="zh-CN" w:eastAsia="zh-CN"/>
          <w14:textFill>
            <w14:solidFill>
              <w14:schemeClr w14:val="tx1"/>
            </w14:solidFill>
          </w14:textFill>
        </w:rPr>
        <w:t>提出</w:t>
      </w:r>
      <w:r>
        <w:rPr>
          <w:rFonts w:hint="eastAsia" w:cs="仿宋"/>
          <w:color w:val="000000" w:themeColor="text1"/>
          <w:sz w:val="28"/>
          <w:szCs w:val="28"/>
          <w:lang w:val="zh-CN" w:eastAsia="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脱贫攻坚成果巩固提升工程</w:t>
      </w:r>
      <w:r>
        <w:rPr>
          <w:rFonts w:hint="eastAsia" w:cs="仿宋"/>
          <w:color w:val="000000" w:themeColor="text1"/>
          <w:sz w:val="28"/>
          <w:szCs w:val="28"/>
          <w:lang w:val="zh-CN" w:eastAsia="zh-CN"/>
          <w14:textFill>
            <w14:solidFill>
              <w14:schemeClr w14:val="tx1"/>
            </w14:solidFill>
          </w14:textFill>
        </w:rPr>
        <w:t>”</w:t>
      </w:r>
      <w:r>
        <w:rPr>
          <w:rFonts w:hint="eastAsia" w:cs="仿宋"/>
          <w:color w:val="000000" w:themeColor="text1"/>
          <w:sz w:val="28"/>
          <w:szCs w:val="28"/>
          <w:lang w:val="zh-CN"/>
          <w14:textFill>
            <w14:solidFill>
              <w14:schemeClr w14:val="tx1"/>
            </w14:solidFill>
          </w14:textFill>
        </w:rPr>
        <w:t>，重点</w:t>
      </w:r>
      <w:r>
        <w:rPr>
          <w:rFonts w:hint="eastAsia" w:ascii="仿宋" w:hAnsi="仿宋" w:eastAsia="仿宋" w:cs="仿宋"/>
          <w:color w:val="000000" w:themeColor="text1"/>
          <w:sz w:val="28"/>
          <w:szCs w:val="28"/>
          <w:lang w:val="zh-CN"/>
          <w14:textFill>
            <w14:solidFill>
              <w14:schemeClr w14:val="tx1"/>
            </w14:solidFill>
          </w14:textFill>
        </w:rPr>
        <w:t>支持青稞等特色优势产业全产业链项目建设</w:t>
      </w:r>
      <w:r>
        <w:rPr>
          <w:rFonts w:hint="eastAsia" w:cs="仿宋"/>
          <w:color w:val="000000" w:themeColor="text1"/>
          <w:sz w:val="28"/>
          <w:szCs w:val="28"/>
          <w:lang w:val="zh-CN" w:eastAsia="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w:t>
      </w:r>
      <w:r>
        <w:rPr>
          <w:rFonts w:ascii="Times New Roman" w:hAnsi="Times New Roman" w:cs="Times New Roman"/>
          <w:color w:val="000000" w:themeColor="text1"/>
          <w:szCs w:val="28"/>
          <w:highlight w:val="none"/>
          <w14:textFill>
            <w14:solidFill>
              <w14:schemeClr w14:val="tx1"/>
            </w14:solidFill>
          </w14:textFill>
        </w:rPr>
        <w:t>为进一步加快推动</w:t>
      </w:r>
      <w:r>
        <w:rPr>
          <w:rFonts w:hint="eastAsia" w:ascii="Times New Roman" w:hAnsi="Times New Roman" w:cs="Times New Roman"/>
          <w:color w:val="000000" w:themeColor="text1"/>
          <w:szCs w:val="28"/>
          <w:highlight w:val="none"/>
          <w:lang w:eastAsia="zh-CN"/>
          <w14:textFill>
            <w14:solidFill>
              <w14:schemeClr w14:val="tx1"/>
            </w14:solidFill>
          </w14:textFill>
        </w:rPr>
        <w:t>青海省</w:t>
      </w:r>
      <w:r>
        <w:rPr>
          <w:rFonts w:ascii="Times New Roman" w:hAnsi="Times New Roman" w:cs="Times New Roman"/>
          <w:color w:val="000000" w:themeColor="text1"/>
          <w:szCs w:val="28"/>
          <w:highlight w:val="none"/>
          <w14:textFill>
            <w14:solidFill>
              <w14:schemeClr w14:val="tx1"/>
            </w14:solidFill>
          </w14:textFill>
        </w:rPr>
        <w:t>青稞产业迈入中高端，打造乡村振兴产业新的增长极，</w:t>
      </w:r>
      <w:r>
        <w:rPr>
          <w:rFonts w:hint="eastAsia" w:ascii="仿宋" w:hAnsi="仿宋" w:eastAsia="仿宋" w:cs="仿宋"/>
          <w:color w:val="000000" w:themeColor="text1"/>
          <w:szCs w:val="28"/>
          <w:highlight w:val="none"/>
          <w:lang w:val="en-US" w:eastAsia="zh-CN"/>
          <w14:textFill>
            <w14:solidFill>
              <w14:schemeClr w14:val="tx1"/>
            </w14:solidFill>
          </w14:textFill>
        </w:rPr>
        <w:t>2020年</w:t>
      </w:r>
      <w:r>
        <w:rPr>
          <w:rFonts w:hint="eastAsia" w:ascii="Times New Roman" w:hAnsi="Times New Roman" w:cs="Times New Roman"/>
          <w:color w:val="000000" w:themeColor="text1"/>
          <w:szCs w:val="28"/>
          <w:highlight w:val="none"/>
          <w:lang w:val="en-US" w:eastAsia="zh-CN"/>
          <w14:textFill>
            <w14:solidFill>
              <w14:schemeClr w14:val="tx1"/>
            </w14:solidFill>
          </w14:textFill>
        </w:rPr>
        <w:t>，</w:t>
      </w:r>
      <w:r>
        <w:rPr>
          <w:rFonts w:hint="default" w:ascii="仿宋" w:hAnsi="仿宋" w:eastAsia="仿宋" w:cs="仿宋"/>
          <w:color w:val="000000" w:themeColor="text1"/>
          <w:sz w:val="28"/>
          <w:szCs w:val="28"/>
          <w:lang w:val="zh-CN"/>
          <w14:textFill>
            <w14:solidFill>
              <w14:schemeClr w14:val="tx1"/>
            </w14:solidFill>
          </w14:textFill>
        </w:rPr>
        <w:t>省发展改</w:t>
      </w:r>
      <w:r>
        <w:rPr>
          <w:rFonts w:hint="default" w:ascii="Times New Roman" w:hAnsi="Times New Roman" w:cs="Times New Roman"/>
          <w:color w:val="000000" w:themeColor="text1"/>
          <w:szCs w:val="28"/>
          <w:highlight w:val="none"/>
          <w14:textFill>
            <w14:solidFill>
              <w14:schemeClr w14:val="tx1"/>
            </w14:solidFill>
          </w14:textFill>
        </w:rPr>
        <w:t>革委牵头会同省农业农村厅等部门</w:t>
      </w:r>
      <w:r>
        <w:rPr>
          <w:rFonts w:ascii="Times New Roman" w:hAnsi="Times New Roman" w:cs="Times New Roman"/>
          <w:color w:val="000000" w:themeColor="text1"/>
          <w:szCs w:val="28"/>
          <w:highlight w:val="none"/>
          <w14:textFill>
            <w14:solidFill>
              <w14:schemeClr w14:val="tx1"/>
            </w14:solidFill>
          </w14:textFill>
        </w:rPr>
        <w:t>印发了《关于加快青海省青稞产业发展的实施意见》</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ascii="Times New Roman" w:hAnsi="Times New Roman" w:cs="Times New Roman"/>
          <w:color w:val="000000" w:themeColor="text1"/>
          <w:szCs w:val="28"/>
          <w:highlight w:val="none"/>
          <w14:textFill>
            <w14:solidFill>
              <w14:schemeClr w14:val="tx1"/>
            </w14:solidFill>
          </w14:textFill>
        </w:rPr>
        <w:t>以下简称《实施意见》</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ascii="Times New Roman" w:hAnsi="Times New Roman" w:cs="Times New Roman"/>
          <w:color w:val="000000" w:themeColor="text1"/>
          <w:szCs w:val="28"/>
          <w:highlight w:val="none"/>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《实施意见》提出青稞产业要紧紧围绕</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乡村振兴</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和</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一优两高</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战略实施，按照</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政府引领、市场导向、龙头带动、科技支撑</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的发展思路，以绿色有机为方向，以供给侧结构性改革为主线，以</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青海青稞</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健康天下</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为主题，以标准化、产业化、品牌化为出路，以体制和科技创新为动力，深度研发青稞多元功能，发挥青稞文化内涵，促进精深加工，开拓国内外市场，提高产业发展质量和效益</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Times New Roman" w:hAnsi="Times New Roman" w:cs="Times New Roman"/>
          <w:color w:val="000000" w:themeColor="text1"/>
          <w:szCs w:val="28"/>
          <w:highlight w:val="none"/>
          <w14:textFill>
            <w14:solidFill>
              <w14:schemeClr w14:val="tx1"/>
            </w14:solidFill>
          </w14:textFill>
        </w:rPr>
        <w:t>。《实施意见》</w:t>
      </w:r>
      <w:r>
        <w:rPr>
          <w:rFonts w:hint="eastAsia" w:ascii="仿宋" w:hAnsi="仿宋" w:eastAsia="仿宋" w:cs="仿宋"/>
          <w:color w:val="000000" w:themeColor="text1"/>
          <w:sz w:val="28"/>
          <w:szCs w:val="28"/>
          <w:lang w:val="zh-CN"/>
          <w14:textFill>
            <w14:solidFill>
              <w14:schemeClr w14:val="tx1"/>
            </w14:solidFill>
          </w14:textFill>
        </w:rPr>
        <w:t>从优化产业布局、建立规范化标准体系、实行绿色有机生产、推动深度开发利用、壮大企业市场主体、打造一流服务平台、建立完善流通体系、培育青海青稞品牌、推进产业扶贫合作、优化产业发展环境”十个方面提出推进</w:t>
      </w:r>
      <w:r>
        <w:rPr>
          <w:rFonts w:hint="eastAsia" w:cs="仿宋"/>
          <w:color w:val="000000" w:themeColor="text1"/>
          <w:sz w:val="28"/>
          <w:szCs w:val="28"/>
          <w:lang w:val="zh-CN"/>
          <w14:textFill>
            <w14:solidFill>
              <w14:schemeClr w14:val="tx1"/>
            </w14:solidFill>
          </w14:textFill>
        </w:rPr>
        <w:t>青海省</w:t>
      </w:r>
      <w:r>
        <w:rPr>
          <w:rFonts w:hint="eastAsia" w:ascii="仿宋" w:hAnsi="仿宋" w:eastAsia="仿宋" w:cs="仿宋"/>
          <w:color w:val="000000" w:themeColor="text1"/>
          <w:sz w:val="28"/>
          <w:szCs w:val="28"/>
          <w:lang w:val="zh-CN"/>
          <w14:textFill>
            <w14:solidFill>
              <w14:schemeClr w14:val="tx1"/>
            </w14:solidFill>
          </w14:textFill>
        </w:rPr>
        <w:t>青稞产业发展的具体政策措施和青稞全产业经济总量翻一番的发展目标。</w:t>
      </w:r>
      <w:r>
        <w:rPr>
          <w:rFonts w:hint="eastAsia" w:cs="仿宋"/>
          <w:color w:val="000000" w:themeColor="text1"/>
          <w:sz w:val="28"/>
          <w:szCs w:val="28"/>
          <w:lang w:val="zh-CN"/>
          <w14:textFill>
            <w14:solidFill>
              <w14:schemeClr w14:val="tx1"/>
            </w14:solidFill>
          </w14:textFill>
        </w:rPr>
        <w:t>省级层面推动</w:t>
      </w:r>
      <w:r>
        <w:rPr>
          <w:rFonts w:hint="eastAsia" w:ascii="仿宋" w:hAnsi="仿宋" w:eastAsia="仿宋" w:cs="仿宋"/>
          <w:color w:val="000000" w:themeColor="text1"/>
          <w:sz w:val="28"/>
          <w:szCs w:val="28"/>
          <w:lang w:val="zh-CN"/>
          <w14:textFill>
            <w14:solidFill>
              <w14:schemeClr w14:val="tx1"/>
            </w14:solidFill>
          </w14:textFill>
        </w:rPr>
        <w:t>青稞产业标准化、产业化、品牌化</w:t>
      </w:r>
      <w:r>
        <w:rPr>
          <w:rFonts w:hint="eastAsia" w:cs="仿宋"/>
          <w:color w:val="000000" w:themeColor="text1"/>
          <w:sz w:val="28"/>
          <w:szCs w:val="28"/>
          <w:lang w:val="zh-CN"/>
          <w14:textFill>
            <w14:solidFill>
              <w14:schemeClr w14:val="tx1"/>
            </w14:solidFill>
          </w14:textFill>
        </w:rPr>
        <w:t>和</w:t>
      </w:r>
      <w:r>
        <w:rPr>
          <w:rFonts w:hint="eastAsia" w:ascii="仿宋" w:hAnsi="仿宋" w:eastAsia="仿宋" w:cs="仿宋"/>
          <w:color w:val="000000" w:themeColor="text1"/>
          <w:sz w:val="28"/>
          <w:szCs w:val="28"/>
          <w:lang w:val="zh-CN"/>
          <w14:textFill>
            <w14:solidFill>
              <w14:schemeClr w14:val="tx1"/>
            </w14:solidFill>
          </w14:textFill>
        </w:rPr>
        <w:t>高质量发展道路越发明晰。</w:t>
      </w:r>
    </w:p>
    <w:p>
      <w:pPr>
        <w:ind w:firstLine="560"/>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黑青稞是目前世界上含β-葡聚糖最高的麦类作物,具有调节血糖、降低胆固醇等作用。2016年3月31日，原中华人民共和国农业部正式批准对“玉树黑青稞”实施农产品地理标志登记保护。“玉树黑青稞”的国家农产品地理标志地域保护范围为：玉树藏族自治州所辖</w:t>
      </w:r>
      <w:r>
        <w:rPr>
          <w:rFonts w:hint="eastAsia" w:ascii="仿宋" w:hAnsi="仿宋" w:eastAsia="仿宋" w:cs="仿宋"/>
          <w:color w:val="000000" w:themeColor="text1"/>
          <w:sz w:val="28"/>
          <w:szCs w:val="28"/>
          <w:lang w:val="zh-CN"/>
          <w14:textFill>
            <w14:solidFill>
              <w14:schemeClr w14:val="tx1"/>
            </w14:solidFill>
          </w14:textFill>
        </w:rPr>
        <w:fldChar w:fldCharType="begin"/>
      </w:r>
      <w:r>
        <w:rPr>
          <w:rFonts w:hint="eastAsia" w:ascii="仿宋" w:hAnsi="仿宋" w:eastAsia="仿宋" w:cs="仿宋"/>
          <w:color w:val="000000" w:themeColor="text1"/>
          <w:sz w:val="28"/>
          <w:szCs w:val="28"/>
          <w:lang w:val="zh-CN"/>
          <w14:textFill>
            <w14:solidFill>
              <w14:schemeClr w14:val="tx1"/>
            </w14:solidFill>
          </w14:textFill>
        </w:rPr>
        <w:instrText xml:space="preserve"> HYPERLINK "https://baike.baidu.com/item/%E5%9B%8A%E8%B0%A6%E5%8E%BF/10816223" \t "https://baike.baidu.com/item/%E7%8E%89%E6%A0%91%E9%BB%91%E9%9D%92%E7%A8%9E/_blank" </w:instrText>
      </w:r>
      <w:r>
        <w:rPr>
          <w:rFonts w:hint="eastAsia" w:ascii="仿宋" w:hAnsi="仿宋" w:eastAsia="仿宋" w:cs="仿宋"/>
          <w:color w:val="000000" w:themeColor="text1"/>
          <w:sz w:val="28"/>
          <w:szCs w:val="28"/>
          <w:lang w:val="zh-CN"/>
          <w14:textFill>
            <w14:solidFill>
              <w14:schemeClr w14:val="tx1"/>
            </w14:solidFill>
          </w14:textFill>
        </w:rPr>
        <w:fldChar w:fldCharType="separate"/>
      </w:r>
      <w:r>
        <w:rPr>
          <w:rFonts w:hint="eastAsia" w:ascii="仿宋" w:hAnsi="仿宋" w:eastAsia="仿宋" w:cs="仿宋"/>
          <w:color w:val="000000" w:themeColor="text1"/>
          <w:sz w:val="28"/>
          <w:szCs w:val="28"/>
          <w:lang w:val="zh-CN"/>
          <w14:textFill>
            <w14:solidFill>
              <w14:schemeClr w14:val="tx1"/>
            </w14:solidFill>
          </w14:textFill>
        </w:rPr>
        <w:t>囊谦县</w:t>
      </w:r>
      <w:r>
        <w:rPr>
          <w:rFonts w:hint="eastAsia" w:ascii="仿宋" w:hAnsi="仿宋" w:eastAsia="仿宋" w:cs="仿宋"/>
          <w:color w:val="000000" w:themeColor="text1"/>
          <w:sz w:val="28"/>
          <w:szCs w:val="28"/>
          <w:lang w:val="zh-CN"/>
          <w14:textFill>
            <w14:solidFill>
              <w14:schemeClr w14:val="tx1"/>
            </w14:solidFill>
          </w14:textFill>
        </w:rPr>
        <w:fldChar w:fldCharType="end"/>
      </w:r>
      <w:r>
        <w:rPr>
          <w:rFonts w:hint="eastAsia" w:ascii="仿宋" w:hAnsi="仿宋" w:eastAsia="仿宋" w:cs="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fldChar w:fldCharType="begin"/>
      </w:r>
      <w:r>
        <w:rPr>
          <w:rFonts w:hint="eastAsia" w:ascii="仿宋" w:hAnsi="仿宋" w:eastAsia="仿宋" w:cs="仿宋"/>
          <w:color w:val="000000" w:themeColor="text1"/>
          <w:sz w:val="28"/>
          <w:szCs w:val="28"/>
          <w:lang w:val="zh-CN"/>
          <w14:textFill>
            <w14:solidFill>
              <w14:schemeClr w14:val="tx1"/>
            </w14:solidFill>
          </w14:textFill>
        </w:rPr>
        <w:instrText xml:space="preserve"> HYPERLINK "https://baike.baidu.com/item/%E7%A7%B0%E5%A4%9A%E5%8E%BF/10816310" \t "https://baike.baidu.com/item/%E7%8E%89%E6%A0%91%E9%BB%91%E9%9D%92%E7%A8%9E/_blank" </w:instrText>
      </w:r>
      <w:r>
        <w:rPr>
          <w:rFonts w:hint="eastAsia" w:ascii="仿宋" w:hAnsi="仿宋" w:eastAsia="仿宋" w:cs="仿宋"/>
          <w:color w:val="000000" w:themeColor="text1"/>
          <w:sz w:val="28"/>
          <w:szCs w:val="28"/>
          <w:lang w:val="zh-CN"/>
          <w14:textFill>
            <w14:solidFill>
              <w14:schemeClr w14:val="tx1"/>
            </w14:solidFill>
          </w14:textFill>
        </w:rPr>
        <w:fldChar w:fldCharType="separate"/>
      </w:r>
      <w:r>
        <w:rPr>
          <w:rFonts w:hint="eastAsia" w:ascii="仿宋" w:hAnsi="仿宋" w:eastAsia="仿宋" w:cs="仿宋"/>
          <w:color w:val="000000" w:themeColor="text1"/>
          <w:sz w:val="28"/>
          <w:szCs w:val="28"/>
          <w:lang w:val="zh-CN"/>
          <w14:textFill>
            <w14:solidFill>
              <w14:schemeClr w14:val="tx1"/>
            </w14:solidFill>
          </w14:textFill>
        </w:rPr>
        <w:t>称多县</w:t>
      </w:r>
      <w:r>
        <w:rPr>
          <w:rFonts w:hint="eastAsia" w:ascii="仿宋" w:hAnsi="仿宋" w:eastAsia="仿宋" w:cs="仿宋"/>
          <w:color w:val="000000" w:themeColor="text1"/>
          <w:sz w:val="28"/>
          <w:szCs w:val="28"/>
          <w:lang w:val="zh-CN"/>
          <w14:textFill>
            <w14:solidFill>
              <w14:schemeClr w14:val="tx1"/>
            </w14:solidFill>
          </w14:textFill>
        </w:rPr>
        <w:fldChar w:fldCharType="end"/>
      </w:r>
      <w:r>
        <w:rPr>
          <w:rFonts w:hint="eastAsia" w:ascii="仿宋" w:hAnsi="仿宋" w:eastAsia="仿宋" w:cs="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fldChar w:fldCharType="begin"/>
      </w:r>
      <w:r>
        <w:rPr>
          <w:rFonts w:hint="eastAsia" w:ascii="仿宋" w:hAnsi="仿宋" w:eastAsia="仿宋" w:cs="仿宋"/>
          <w:color w:val="000000" w:themeColor="text1"/>
          <w:sz w:val="28"/>
          <w:szCs w:val="28"/>
          <w:lang w:val="zh-CN"/>
          <w14:textFill>
            <w14:solidFill>
              <w14:schemeClr w14:val="tx1"/>
            </w14:solidFill>
          </w14:textFill>
        </w:rPr>
        <w:instrText xml:space="preserve"> HYPERLINK "https://baike.baidu.com/item/%E7%8E%89%E6%A0%91%E5%B8%82/9701055" \t "https://baike.baidu.com/item/%E7%8E%89%E6%A0%91%E9%BB%91%E9%9D%92%E7%A8%9E/_blank" </w:instrText>
      </w:r>
      <w:r>
        <w:rPr>
          <w:rFonts w:hint="eastAsia" w:ascii="仿宋" w:hAnsi="仿宋" w:eastAsia="仿宋" w:cs="仿宋"/>
          <w:color w:val="000000" w:themeColor="text1"/>
          <w:sz w:val="28"/>
          <w:szCs w:val="28"/>
          <w:lang w:val="zh-CN"/>
          <w14:textFill>
            <w14:solidFill>
              <w14:schemeClr w14:val="tx1"/>
            </w14:solidFill>
          </w14:textFill>
        </w:rPr>
        <w:fldChar w:fldCharType="separate"/>
      </w:r>
      <w:r>
        <w:rPr>
          <w:rFonts w:hint="eastAsia" w:ascii="仿宋" w:hAnsi="仿宋" w:eastAsia="仿宋" w:cs="仿宋"/>
          <w:color w:val="000000" w:themeColor="text1"/>
          <w:sz w:val="28"/>
          <w:szCs w:val="28"/>
          <w:lang w:val="zh-CN"/>
          <w14:textFill>
            <w14:solidFill>
              <w14:schemeClr w14:val="tx1"/>
            </w14:solidFill>
          </w14:textFill>
        </w:rPr>
        <w:t>玉树市</w:t>
      </w:r>
      <w:r>
        <w:rPr>
          <w:rFonts w:hint="eastAsia" w:ascii="仿宋" w:hAnsi="仿宋" w:eastAsia="仿宋" w:cs="仿宋"/>
          <w:color w:val="000000" w:themeColor="text1"/>
          <w:sz w:val="28"/>
          <w:szCs w:val="28"/>
          <w:lang w:val="zh-CN"/>
          <w14:textFill>
            <w14:solidFill>
              <w14:schemeClr w14:val="tx1"/>
            </w14:solidFill>
          </w14:textFill>
        </w:rPr>
        <w:fldChar w:fldCharType="end"/>
      </w:r>
      <w:r>
        <w:rPr>
          <w:rFonts w:hint="eastAsia" w:ascii="仿宋" w:hAnsi="仿宋" w:eastAsia="仿宋" w:cs="仿宋"/>
          <w:color w:val="000000" w:themeColor="text1"/>
          <w:sz w:val="28"/>
          <w:szCs w:val="28"/>
          <w:lang w:val="zh-CN"/>
          <w14:textFill>
            <w14:solidFill>
              <w14:schemeClr w14:val="tx1"/>
            </w14:solidFill>
          </w14:textFill>
        </w:rPr>
        <w:t>共3个县市。2019年，玉树黑青稞入选青海省发布的16个“青海农产品区域公用品牌”。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囊谦</w:t>
      </w:r>
      <w:r>
        <w:rPr>
          <w:rFonts w:hint="eastAsia" w:ascii="仿宋" w:hAnsi="仿宋" w:eastAsia="仿宋" w:cs="仿宋"/>
          <w:color w:val="000000" w:themeColor="text1"/>
          <w:sz w:val="28"/>
          <w:szCs w:val="28"/>
          <w:lang w:val="en-US" w:eastAsia="zh-CN"/>
          <w14:textFill>
            <w14:solidFill>
              <w14:schemeClr w14:val="tx1"/>
            </w14:solidFill>
          </w14:textFill>
        </w:rPr>
        <w:t>县</w:t>
      </w:r>
      <w:r>
        <w:rPr>
          <w:rFonts w:hint="default" w:ascii="仿宋" w:hAnsi="仿宋" w:eastAsia="仿宋" w:cs="仿宋"/>
          <w:color w:val="000000" w:themeColor="text1"/>
          <w:sz w:val="28"/>
          <w:szCs w:val="28"/>
          <w:lang w:val="zh-CN"/>
          <w14:textFill>
            <w14:solidFill>
              <w14:schemeClr w14:val="tx1"/>
            </w14:solidFill>
          </w14:textFill>
        </w:rPr>
        <w:t>是</w:t>
      </w:r>
      <w:r>
        <w:rPr>
          <w:rFonts w:hint="eastAsia" w:ascii="仿宋" w:hAnsi="仿宋" w:eastAsia="仿宋" w:cs="仿宋"/>
          <w:color w:val="000000" w:themeColor="text1"/>
          <w:sz w:val="28"/>
          <w:szCs w:val="28"/>
          <w:lang w:val="zh-CN"/>
          <w14:textFill>
            <w14:solidFill>
              <w14:schemeClr w14:val="tx1"/>
            </w14:solidFill>
          </w14:textFill>
        </w:rPr>
        <w:t>“玉树黑青稞”</w:t>
      </w:r>
      <w:r>
        <w:rPr>
          <w:rFonts w:hint="default" w:ascii="仿宋" w:hAnsi="仿宋" w:eastAsia="仿宋" w:cs="仿宋"/>
          <w:color w:val="000000" w:themeColor="text1"/>
          <w:sz w:val="28"/>
          <w:szCs w:val="28"/>
          <w:lang w:val="zh-CN"/>
          <w14:textFill>
            <w14:solidFill>
              <w14:schemeClr w14:val="tx1"/>
            </w14:solidFill>
          </w14:textFill>
        </w:rPr>
        <w:t>的重要产地</w:t>
      </w:r>
      <w:r>
        <w:rPr>
          <w:rFonts w:hint="eastAsia" w:ascii="仿宋" w:hAnsi="仿宋" w:eastAsia="仿宋" w:cs="仿宋"/>
          <w:color w:val="000000" w:themeColor="text1"/>
          <w:sz w:val="28"/>
          <w:szCs w:val="28"/>
          <w:lang w:val="zh-CN" w:eastAsia="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近年来，囊谦县将青稞产业作为巩固脱贫成果、带动群众持续增收的重点产业，不断加大资金投入和政策扶持力度。项目紧抓青稞产业发展有利契机，依托当地黑青稞资源优势</w:t>
      </w:r>
      <w:r>
        <w:rPr>
          <w:rFonts w:hint="eastAsia" w:cs="仿宋"/>
          <w:color w:val="000000" w:themeColor="text1"/>
          <w:sz w:val="28"/>
          <w:szCs w:val="28"/>
          <w:lang w:val="en-US" w:eastAsia="zh-CN"/>
          <w14:textFill>
            <w14:solidFill>
              <w14:schemeClr w14:val="tx1"/>
            </w14:solidFill>
          </w14:textFill>
        </w:rPr>
        <w:t>和囊谦县扶贫产业园现有设施，</w:t>
      </w:r>
      <w:r>
        <w:rPr>
          <w:rFonts w:hint="eastAsia" w:ascii="仿宋" w:hAnsi="仿宋" w:eastAsia="仿宋" w:cs="仿宋"/>
          <w:color w:val="000000" w:themeColor="text1"/>
          <w:sz w:val="28"/>
          <w:szCs w:val="28"/>
          <w:lang w:val="zh-CN"/>
          <w14:textFill>
            <w14:solidFill>
              <w14:schemeClr w14:val="tx1"/>
            </w14:solidFill>
          </w14:textFill>
        </w:rPr>
        <w:t>建设</w:t>
      </w:r>
      <w:r>
        <w:rPr>
          <w:rFonts w:hint="eastAsia"/>
          <w:color w:val="000000" w:themeColor="text1"/>
          <w:szCs w:val="28"/>
          <w:highlight w:val="none"/>
          <w:lang w:val="zh-CN"/>
          <w14:textFill>
            <w14:solidFill>
              <w14:schemeClr w14:val="tx1"/>
            </w14:solidFill>
          </w14:textFill>
        </w:rPr>
        <w:t>黑青稞</w:t>
      </w:r>
      <w:r>
        <w:rPr>
          <w:rFonts w:hint="eastAsia"/>
          <w:color w:val="000000" w:themeColor="text1"/>
          <w:szCs w:val="28"/>
          <w:highlight w:val="none"/>
          <w:lang w:val="en-US" w:eastAsia="zh-CN"/>
          <w14:textFill>
            <w14:solidFill>
              <w14:schemeClr w14:val="tx1"/>
            </w14:solidFill>
          </w14:textFill>
        </w:rPr>
        <w:t>啤酒</w:t>
      </w:r>
      <w:r>
        <w:rPr>
          <w:rFonts w:hint="eastAsia"/>
          <w:color w:val="000000" w:themeColor="text1"/>
          <w:szCs w:val="28"/>
          <w:highlight w:val="none"/>
          <w:lang w:val="zh-CN"/>
          <w14:textFill>
            <w14:solidFill>
              <w14:schemeClr w14:val="tx1"/>
            </w14:solidFill>
          </w14:textFill>
        </w:rPr>
        <w:t>生产加工项目</w:t>
      </w:r>
      <w:r>
        <w:rPr>
          <w:rFonts w:hint="eastAsia" w:ascii="仿宋" w:hAnsi="仿宋" w:eastAsia="仿宋" w:cs="仿宋"/>
          <w:color w:val="000000" w:themeColor="text1"/>
          <w:sz w:val="28"/>
          <w:szCs w:val="28"/>
          <w:lang w:val="zh-CN"/>
          <w14:textFill>
            <w14:solidFill>
              <w14:schemeClr w14:val="tx1"/>
            </w14:solidFill>
          </w14:textFill>
        </w:rPr>
        <w:t>，开发适应消费升级需求的黑青稞</w:t>
      </w:r>
      <w:r>
        <w:rPr>
          <w:rFonts w:hint="eastAsia" w:cs="仿宋"/>
          <w:color w:val="000000" w:themeColor="text1"/>
          <w:sz w:val="28"/>
          <w:szCs w:val="28"/>
          <w:lang w:val="en-US" w:eastAsia="zh-CN"/>
          <w14:textFill>
            <w14:solidFill>
              <w14:schemeClr w14:val="tx1"/>
            </w14:solidFill>
          </w14:textFill>
        </w:rPr>
        <w:t>啤酒</w:t>
      </w:r>
      <w:r>
        <w:rPr>
          <w:rFonts w:hint="eastAsia" w:ascii="仿宋" w:hAnsi="仿宋" w:eastAsia="仿宋" w:cs="仿宋"/>
          <w:color w:val="000000" w:themeColor="text1"/>
          <w:sz w:val="28"/>
          <w:szCs w:val="28"/>
          <w:lang w:val="zh-CN"/>
          <w14:textFill>
            <w14:solidFill>
              <w14:schemeClr w14:val="tx1"/>
            </w14:solidFill>
          </w14:textFill>
        </w:rPr>
        <w:t>新产品，</w:t>
      </w:r>
      <w:r>
        <w:rPr>
          <w:rFonts w:hint="eastAsia" w:cs="仿宋"/>
          <w:color w:val="000000" w:themeColor="text1"/>
          <w:sz w:val="28"/>
          <w:szCs w:val="28"/>
          <w:lang w:val="zh-CN"/>
          <w14:textFill>
            <w14:solidFill>
              <w14:schemeClr w14:val="tx1"/>
            </w14:solidFill>
          </w14:textFill>
        </w:rPr>
        <w:t>提升产品附加值，</w:t>
      </w:r>
      <w:r>
        <w:rPr>
          <w:rFonts w:hint="eastAsia" w:ascii="仿宋" w:hAnsi="仿宋" w:eastAsia="仿宋" w:cs="仿宋"/>
          <w:color w:val="000000" w:themeColor="text1"/>
          <w:sz w:val="28"/>
          <w:szCs w:val="28"/>
          <w:lang w:val="zh-CN"/>
          <w14:textFill>
            <w14:solidFill>
              <w14:schemeClr w14:val="tx1"/>
            </w14:solidFill>
          </w14:textFill>
        </w:rPr>
        <w:t>生产黑青稞</w:t>
      </w:r>
      <w:r>
        <w:rPr>
          <w:rFonts w:hint="eastAsia" w:cs="仿宋"/>
          <w:color w:val="000000" w:themeColor="text1"/>
          <w:sz w:val="28"/>
          <w:szCs w:val="28"/>
          <w:lang w:val="en-US" w:eastAsia="zh-CN"/>
          <w14:textFill>
            <w14:solidFill>
              <w14:schemeClr w14:val="tx1"/>
            </w14:solidFill>
          </w14:textFill>
        </w:rPr>
        <w:t>啤酒500</w:t>
      </w:r>
      <w:r>
        <w:rPr>
          <w:rFonts w:hint="eastAsia" w:ascii="仿宋" w:hAnsi="仿宋" w:eastAsia="仿宋" w:cs="仿宋"/>
          <w:color w:val="000000" w:themeColor="text1"/>
          <w:sz w:val="28"/>
          <w:szCs w:val="28"/>
          <w:lang w:val="zh-CN"/>
          <w14:textFill>
            <w14:solidFill>
              <w14:schemeClr w14:val="tx1"/>
            </w14:solidFill>
          </w14:textFill>
        </w:rPr>
        <w:t>0t/a，加快推动当地特色农产品“走出去”，将其培育成囊谦县青稞产业发展的新增长点。通过项目建设，形成带动区域青稞产业化、集约化、规模化发展的长效机制，进一步提升玉树黑青稞产业品牌知名度、带动特色农牧业协同发展，助力推动实施乡村振兴战略，促进当地农业增效、农牧民持续增收，为囊谦县优势农牧业资源产业化发展提供有力支撑，具有积极的示范带动作用，经济效益和社会效益显著。</w:t>
      </w:r>
    </w:p>
    <w:p>
      <w:pPr>
        <w:pStyle w:val="39"/>
        <w:ind w:firstLine="560" w:firstLineChars="200"/>
        <w:rPr>
          <w:color w:val="000000" w:themeColor="text1"/>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因此，本项目就是在此背景下适时提出</w:t>
      </w:r>
      <w:r>
        <w:rPr>
          <w:rFonts w:hint="eastAsia" w:cs="仿宋"/>
          <w:color w:val="000000" w:themeColor="text1"/>
          <w:sz w:val="28"/>
          <w:szCs w:val="28"/>
          <w:lang w:val="en-US" w:eastAsia="zh-CN"/>
          <w14:textFill>
            <w14:solidFill>
              <w14:schemeClr w14:val="tx1"/>
            </w14:solidFill>
          </w14:textFill>
        </w:rPr>
        <w:t>建设</w:t>
      </w:r>
      <w:r>
        <w:rPr>
          <w:rFonts w:hint="eastAsia" w:ascii="仿宋" w:hAnsi="仿宋" w:eastAsia="仿宋" w:cs="仿宋"/>
          <w:color w:val="000000" w:themeColor="text1"/>
          <w:sz w:val="28"/>
          <w:szCs w:val="28"/>
          <w:lang w:val="zh-CN"/>
          <w14:textFill>
            <w14:solidFill>
              <w14:schemeClr w14:val="tx1"/>
            </w14:solidFill>
          </w14:textFill>
        </w:rPr>
        <w:t>。</w:t>
      </w:r>
    </w:p>
    <w:p>
      <w:pPr>
        <w:pStyle w:val="3"/>
        <w:spacing w:before="192" w:after="216"/>
        <w:rPr>
          <w:color w:val="000000" w:themeColor="text1"/>
          <w:highlight w:val="none"/>
          <w14:textFill>
            <w14:solidFill>
              <w14:schemeClr w14:val="tx1"/>
            </w14:solidFill>
          </w14:textFill>
        </w:rPr>
      </w:pPr>
      <w:bookmarkStart w:id="10" w:name="_Toc18101"/>
      <w:bookmarkStart w:id="11" w:name="_Toc7656"/>
      <w:bookmarkStart w:id="12" w:name="_Toc8116"/>
      <w:r>
        <w:rPr>
          <w:color w:val="000000" w:themeColor="text1"/>
          <w:highlight w:val="none"/>
          <w14:textFill>
            <w14:solidFill>
              <w14:schemeClr w14:val="tx1"/>
            </w14:solidFill>
          </w14:textFill>
        </w:rPr>
        <w:t>1.2</w:t>
      </w:r>
      <w:r>
        <w:rPr>
          <w:rFonts w:hint="eastAsia"/>
          <w:color w:val="000000" w:themeColor="text1"/>
          <w:highlight w:val="none"/>
          <w:lang w:eastAsia="zh-CN"/>
          <w14:textFill>
            <w14:solidFill>
              <w14:schemeClr w14:val="tx1"/>
            </w14:solidFill>
          </w14:textFill>
        </w:rPr>
        <w:t>实施方案</w:t>
      </w:r>
      <w:r>
        <w:rPr>
          <w:color w:val="000000" w:themeColor="text1"/>
          <w:highlight w:val="none"/>
          <w14:textFill>
            <w14:solidFill>
              <w14:schemeClr w14:val="tx1"/>
            </w14:solidFill>
          </w14:textFill>
        </w:rPr>
        <w:t>编制依据</w:t>
      </w:r>
      <w:bookmarkEnd w:id="10"/>
      <w:bookmarkEnd w:id="11"/>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（1）国家发展改革委、建设部《建设项目经济评价方法与参数》（第三版）；</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（2）中国电力出版社出版的《投资项目可行性研究指南》；</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（3）中国统计出版社出版的《项目决策分析与评价》；</w:t>
      </w:r>
    </w:p>
    <w:p>
      <w:pPr>
        <w:spacing w:line="360" w:lineRule="auto"/>
        <w:ind w:firstLine="560" w:firstLineChars="200"/>
        <w:rPr>
          <w:rFonts w:hint="eastAsia"/>
          <w:color w:val="000000" w:themeColor="text1"/>
          <w:szCs w:val="28"/>
          <w:highlight w:val="none"/>
          <w:lang w:eastAsia="zh-CN"/>
          <w14:textFill>
            <w14:solidFill>
              <w14:schemeClr w14:val="tx1"/>
            </w14:solidFill>
          </w14:textFill>
        </w:rPr>
      </w:pPr>
      <w:r>
        <w:rPr>
          <w:rFonts w:hint="eastAsia"/>
          <w:color w:val="000000" w:themeColor="text1"/>
          <w:szCs w:val="28"/>
          <w:highlight w:val="none"/>
          <w14:textFill>
            <w14:solidFill>
              <w14:schemeClr w14:val="tx1"/>
            </w14:solidFill>
          </w14:textFill>
        </w:rPr>
        <w:t>（4）《产业结构调整指导目录（2019年本）》</w:t>
      </w:r>
      <w:r>
        <w:rPr>
          <w:rFonts w:hint="eastAsia"/>
          <w:color w:val="000000" w:themeColor="text1"/>
          <w:szCs w:val="28"/>
          <w:highlight w:val="none"/>
          <w:lang w:eastAsia="zh-CN"/>
          <w14:textFill>
            <w14:solidFill>
              <w14:schemeClr w14:val="tx1"/>
            </w14:solidFill>
          </w14:textFill>
        </w:rPr>
        <w:t>；</w:t>
      </w:r>
    </w:p>
    <w:p>
      <w:pPr>
        <w:spacing w:line="360" w:lineRule="auto"/>
        <w:ind w:firstLine="560" w:firstLineChars="200"/>
        <w:rPr>
          <w:rFonts w:hint="eastAsia" w:ascii="仿宋" w:hAnsi="仿宋" w:eastAsia="仿宋" w:cs="宋体"/>
          <w:color w:val="000000" w:themeColor="text1"/>
          <w:szCs w:val="28"/>
          <w:lang w:val="zh-CN" w:eastAsia="zh-CN"/>
          <w14:textFill>
            <w14:solidFill>
              <w14:schemeClr w14:val="tx1"/>
            </w14:solidFill>
          </w14:textFill>
        </w:rPr>
      </w:pPr>
      <w:r>
        <w:rPr>
          <w:rFonts w:hint="eastAsia" w:cs="宋体"/>
          <w:color w:val="000000" w:themeColor="text1"/>
          <w:szCs w:val="28"/>
          <w:lang w:val="zh-CN" w:eastAsia="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5</w:t>
      </w:r>
      <w:r>
        <w:rPr>
          <w:rFonts w:hint="eastAsia" w:cs="宋体"/>
          <w:color w:val="000000" w:themeColor="text1"/>
          <w:szCs w:val="28"/>
          <w:lang w:val="zh-CN" w:eastAsia="zh-CN"/>
          <w14:textFill>
            <w14:solidFill>
              <w14:schemeClr w14:val="tx1"/>
            </w14:solidFill>
          </w14:textFill>
        </w:rPr>
        <w:t>）</w:t>
      </w:r>
      <w:r>
        <w:rPr>
          <w:rFonts w:hint="eastAsia" w:ascii="仿宋" w:hAnsi="仿宋" w:eastAsia="仿宋" w:cs="宋体"/>
          <w:color w:val="000000" w:themeColor="text1"/>
          <w:szCs w:val="28"/>
          <w:lang w:val="zh-CN" w:eastAsia="zh-CN"/>
          <w14:textFill>
            <w14:solidFill>
              <w14:schemeClr w14:val="tx1"/>
            </w14:solidFill>
          </w14:textFill>
        </w:rPr>
        <w:t>《乡村振兴战略规划（2018－2022年）》；</w:t>
      </w:r>
    </w:p>
    <w:p>
      <w:pPr>
        <w:spacing w:line="360" w:lineRule="auto"/>
        <w:ind w:firstLine="560" w:firstLineChars="200"/>
        <w:rPr>
          <w:rFonts w:hint="eastAsia" w:ascii="Times New Roman" w:hAnsi="Times New Roman" w:eastAsia="仿宋" w:cs="Times New Roman"/>
          <w:color w:val="000000" w:themeColor="text1"/>
          <w:szCs w:val="28"/>
          <w:highlight w:val="none"/>
          <w:lang w:eastAsia="zh-CN"/>
          <w14:textFill>
            <w14:solidFill>
              <w14:schemeClr w14:val="tx1"/>
            </w14:solidFill>
          </w14:textFill>
        </w:rPr>
      </w:pPr>
      <w:r>
        <w:rPr>
          <w:rFonts w:hint="eastAsia" w:ascii="仿宋" w:hAnsi="仿宋" w:eastAsia="仿宋" w:cs="宋体"/>
          <w:color w:val="000000" w:themeColor="text1"/>
          <w:szCs w:val="28"/>
          <w:lang w:val="zh-CN" w:eastAsia="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6</w:t>
      </w:r>
      <w:r>
        <w:rPr>
          <w:rFonts w:hint="eastAsia" w:ascii="仿宋" w:hAnsi="仿宋" w:eastAsia="仿宋" w:cs="宋体"/>
          <w:color w:val="000000" w:themeColor="text1"/>
          <w:szCs w:val="28"/>
          <w:lang w:val="zh-CN"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青海省国民经济和社会发展第十四个五年规划和二○三五年远景目标纲要</w:t>
      </w:r>
      <w:r>
        <w:rPr>
          <w:rFonts w:ascii="Times New Roman" w:hAnsi="Times New Roman" w:cs="Times New Roman"/>
          <w:color w:val="000000" w:themeColor="text1"/>
          <w:szCs w:val="28"/>
          <w:highlight w:val="none"/>
          <w14:textFill>
            <w14:solidFill>
              <w14:schemeClr w14:val="tx1"/>
            </w14:solidFill>
          </w14:textFill>
        </w:rPr>
        <w:t>》</w:t>
      </w:r>
      <w:r>
        <w:rPr>
          <w:rFonts w:hint="eastAsia" w:ascii="Times New Roman" w:hAnsi="Times New Roman" w:cs="Times New Roman"/>
          <w:color w:val="000000" w:themeColor="text1"/>
          <w:szCs w:val="28"/>
          <w:highlight w:val="none"/>
          <w:lang w:eastAsia="zh-CN"/>
          <w14:textFill>
            <w14:solidFill>
              <w14:schemeClr w14:val="tx1"/>
            </w14:solidFill>
          </w14:textFill>
        </w:rPr>
        <w:t>；</w:t>
      </w:r>
    </w:p>
    <w:p>
      <w:pPr>
        <w:spacing w:line="360" w:lineRule="auto"/>
        <w:ind w:firstLine="560" w:firstLineChars="200"/>
        <w:rPr>
          <w:rFonts w:hint="eastAsia" w:ascii="仿宋" w:hAnsi="仿宋" w:eastAsia="仿宋" w:cs="宋体"/>
          <w:color w:val="000000" w:themeColor="text1"/>
          <w:szCs w:val="28"/>
          <w:lang w:val="zh-CN" w:eastAsia="zh-CN"/>
          <w14:textFill>
            <w14:solidFill>
              <w14:schemeClr w14:val="tx1"/>
            </w14:solidFill>
          </w14:textFill>
        </w:rPr>
      </w:pPr>
      <w:r>
        <w:rPr>
          <w:rFonts w:hint="eastAsia" w:ascii="仿宋" w:hAnsi="仿宋" w:eastAsia="仿宋" w:cs="宋体"/>
          <w:color w:val="000000" w:themeColor="text1"/>
          <w:szCs w:val="28"/>
          <w:lang w:val="zh-CN" w:eastAsia="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7</w:t>
      </w:r>
      <w:r>
        <w:rPr>
          <w:rFonts w:hint="eastAsia" w:ascii="仿宋" w:hAnsi="仿宋" w:eastAsia="仿宋" w:cs="宋体"/>
          <w:color w:val="000000" w:themeColor="text1"/>
          <w:szCs w:val="28"/>
          <w:lang w:val="zh-CN" w:eastAsia="zh-CN"/>
          <w14:textFill>
            <w14:solidFill>
              <w14:schemeClr w14:val="tx1"/>
            </w14:solidFill>
          </w14:textFill>
        </w:rPr>
        <w:t>）《青海省乡村振兴战略规划（2018－2022年）》；</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r>
        <w:rPr>
          <w:rFonts w:hint="default" w:ascii="仿宋" w:hAnsi="仿宋" w:eastAsia="仿宋" w:cs="仿宋"/>
          <w:color w:val="000000" w:themeColor="text1"/>
          <w:szCs w:val="28"/>
          <w:lang w:val="en-US" w:eastAsia="zh-CN" w:bidi="ar"/>
          <w14:textFill>
            <w14:solidFill>
              <w14:schemeClr w14:val="tx1"/>
            </w14:solidFill>
          </w14:textFill>
        </w:rPr>
        <w:t>中共青海省委青海省人民政府《贯彻</w:t>
      </w:r>
      <w:r>
        <w:rPr>
          <w:rFonts w:hint="eastAsia" w:ascii="仿宋" w:hAnsi="仿宋" w:eastAsia="仿宋" w:cs="仿宋"/>
          <w:color w:val="000000" w:themeColor="text1"/>
          <w:szCs w:val="28"/>
          <w:lang w:val="en-US" w:eastAsia="zh-CN" w:bidi="ar"/>
          <w14:textFill>
            <w14:solidFill>
              <w14:schemeClr w14:val="tx1"/>
            </w14:solidFill>
          </w14:textFill>
        </w:rPr>
        <w:t>&lt;</w:t>
      </w:r>
      <w:r>
        <w:rPr>
          <w:rFonts w:hint="default" w:ascii="仿宋" w:hAnsi="仿宋" w:eastAsia="仿宋" w:cs="仿宋"/>
          <w:color w:val="000000" w:themeColor="text1"/>
          <w:szCs w:val="28"/>
          <w:lang w:val="en-US" w:eastAsia="zh-CN" w:bidi="ar"/>
          <w14:textFill>
            <w14:solidFill>
              <w14:schemeClr w14:val="tx1"/>
            </w14:solidFill>
          </w14:textFill>
        </w:rPr>
        <w:t>中共中央国务院关于全面推进乡村振兴加快农业农村现代化的意见</w:t>
      </w:r>
      <w:r>
        <w:rPr>
          <w:rFonts w:hint="eastAsia" w:ascii="仿宋" w:hAnsi="仿宋" w:eastAsia="仿宋" w:cs="仿宋"/>
          <w:color w:val="000000" w:themeColor="text1"/>
          <w:szCs w:val="28"/>
          <w:lang w:val="en-US" w:eastAsia="zh-CN" w:bidi="ar"/>
          <w14:textFill>
            <w14:solidFill>
              <w14:schemeClr w14:val="tx1"/>
            </w14:solidFill>
          </w14:textFill>
        </w:rPr>
        <w:t>&gt;</w:t>
      </w:r>
      <w:r>
        <w:rPr>
          <w:rFonts w:hint="default" w:ascii="仿宋" w:hAnsi="仿宋" w:eastAsia="仿宋" w:cs="仿宋"/>
          <w:color w:val="000000" w:themeColor="text1"/>
          <w:szCs w:val="28"/>
          <w:lang w:val="en-US" w:eastAsia="zh-CN" w:bidi="ar"/>
          <w14:textFill>
            <w14:solidFill>
              <w14:schemeClr w14:val="tx1"/>
            </w14:solidFill>
          </w14:textFill>
        </w:rPr>
        <w:t>的实施意见》</w:t>
      </w:r>
      <w:r>
        <w:rPr>
          <w:rFonts w:hint="eastAsia" w:ascii="仿宋" w:hAnsi="仿宋" w:eastAsia="仿宋" w:cs="仿宋"/>
          <w:color w:val="000000" w:themeColor="text1"/>
          <w:szCs w:val="28"/>
          <w:lang w:val="en-US" w:eastAsia="zh-CN" w:bidi="ar"/>
          <w14:textFill>
            <w14:solidFill>
              <w14:schemeClr w14:val="tx1"/>
            </w14:solidFill>
          </w14:textFill>
        </w:rPr>
        <w:t>；</w:t>
      </w:r>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w:t>
      </w:r>
      <w:r>
        <w:rPr>
          <w:rFonts w:ascii="Times New Roman" w:hAnsi="Times New Roman" w:cs="Times New Roman"/>
          <w:color w:val="000000" w:themeColor="text1"/>
          <w:szCs w:val="28"/>
          <w:highlight w:val="none"/>
          <w14:textFill>
            <w14:solidFill>
              <w14:schemeClr w14:val="tx1"/>
            </w14:solidFill>
          </w14:textFill>
        </w:rPr>
        <w:t>《</w:t>
      </w:r>
      <w:r>
        <w:rPr>
          <w:rFonts w:hint="eastAsia" w:ascii="Times New Roman" w:hAnsi="Times New Roman" w:cs="Times New Roman"/>
          <w:color w:val="000000" w:themeColor="text1"/>
          <w:szCs w:val="28"/>
          <w:highlight w:val="none"/>
          <w:lang w:eastAsia="zh-CN"/>
          <w14:textFill>
            <w14:solidFill>
              <w14:schemeClr w14:val="tx1"/>
            </w14:solidFill>
          </w14:textFill>
        </w:rPr>
        <w:t>关于</w:t>
      </w:r>
      <w:r>
        <w:rPr>
          <w:rFonts w:ascii="Times New Roman" w:hAnsi="Times New Roman" w:cs="Times New Roman"/>
          <w:color w:val="000000" w:themeColor="text1"/>
          <w:szCs w:val="28"/>
          <w:highlight w:val="none"/>
          <w14:textFill>
            <w14:solidFill>
              <w14:schemeClr w14:val="tx1"/>
            </w14:solidFill>
          </w14:textFill>
        </w:rPr>
        <w:t>加快青海省青稞产业发展的实施意见》</w:t>
      </w:r>
      <w:r>
        <w:rPr>
          <w:rFonts w:hint="eastAsia"/>
          <w:color w:val="000000" w:themeColor="text1"/>
          <w:highlight w:val="none"/>
          <w14:textFill>
            <w14:solidFill>
              <w14:schemeClr w14:val="tx1"/>
            </w14:solidFill>
          </w14:textFill>
        </w:rPr>
        <w:t>；</w:t>
      </w:r>
    </w:p>
    <w:p>
      <w:pPr>
        <w:ind w:firstLine="56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《囊谦县县城总体规划（2013</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2030</w:t>
      </w:r>
      <w:r>
        <w:rPr>
          <w:rFonts w:hint="eastAsia"/>
          <w:color w:val="000000" w:themeColor="text1"/>
          <w:highlight w:val="none"/>
          <w:lang w:eastAsia="zh-CN"/>
          <w14:textFill>
            <w14:solidFill>
              <w14:schemeClr w14:val="tx1"/>
            </w14:solidFill>
          </w14:textFill>
        </w:rPr>
        <w:t>年</w:t>
      </w:r>
      <w:r>
        <w:rPr>
          <w:rFonts w:hint="eastAsia"/>
          <w:color w:val="000000" w:themeColor="text1"/>
          <w:highlight w:val="none"/>
          <w14:textFill>
            <w14:solidFill>
              <w14:schemeClr w14:val="tx1"/>
            </w14:solidFill>
          </w14:textFill>
        </w:rPr>
        <w:t>）》；</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青海省统计年鉴</w:t>
      </w:r>
      <w:r>
        <w:rPr>
          <w:rFonts w:hint="eastAsia"/>
          <w:color w:val="000000" w:themeColor="text1"/>
          <w:highlight w:val="none"/>
          <w14:textFill>
            <w14:solidFill>
              <w14:schemeClr w14:val="tx1"/>
            </w14:solidFill>
          </w14:textFill>
        </w:rPr>
        <w:t>（20</w:t>
      </w: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年</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pPr>
        <w:pStyle w:val="3"/>
        <w:spacing w:before="192" w:after="216"/>
        <w:rPr>
          <w:color w:val="000000" w:themeColor="text1"/>
          <w:highlight w:val="none"/>
          <w14:textFill>
            <w14:solidFill>
              <w14:schemeClr w14:val="tx1"/>
            </w14:solidFill>
          </w14:textFill>
        </w:rPr>
      </w:pPr>
      <w:bookmarkStart w:id="13" w:name="_Toc23089"/>
      <w:r>
        <w:rPr>
          <w:color w:val="000000" w:themeColor="text1"/>
          <w:highlight w:val="none"/>
          <w14:textFill>
            <w14:solidFill>
              <w14:schemeClr w14:val="tx1"/>
            </w14:solidFill>
          </w14:textFill>
        </w:rPr>
        <w:t>1.3项目编制范围</w:t>
      </w:r>
      <w:bookmarkEnd w:id="12"/>
      <w:bookmarkEnd w:id="13"/>
    </w:p>
    <w:p>
      <w:pPr>
        <w:ind w:firstLine="560"/>
        <w:rPr>
          <w:rFonts w:ascii="Times New Roman" w:hAnsi="Times New Roman" w:cs="Times New Roman"/>
          <w:color w:val="000000" w:themeColor="text1"/>
          <w:szCs w:val="28"/>
          <w:highlight w:val="none"/>
          <w:lang w:val="zh-CN"/>
          <w14:textFill>
            <w14:solidFill>
              <w14:schemeClr w14:val="tx1"/>
            </w14:solidFill>
          </w14:textFill>
        </w:rPr>
      </w:pPr>
      <w:bookmarkStart w:id="14" w:name="_Toc18673"/>
      <w:r>
        <w:rPr>
          <w:rFonts w:hint="eastAsia" w:ascii="仿宋" w:hAnsi="仿宋" w:eastAsia="仿宋" w:cs="仿宋"/>
          <w:color w:val="000000" w:themeColor="text1"/>
          <w:szCs w:val="28"/>
          <w:lang w:val="zh-CN" w:eastAsia="zh-CN" w:bidi="ar"/>
          <w14:textFill>
            <w14:solidFill>
              <w14:schemeClr w14:val="tx1"/>
            </w14:solidFill>
          </w14:textFill>
        </w:rPr>
        <w:t>依据中国电力出版社《投资项目可行性研究指南》规定的工程项目实施方案的深度及要求，对项目提出的理由、项目现状及必要性、</w:t>
      </w:r>
      <w:r>
        <w:rPr>
          <w:rFonts w:hint="eastAsia" w:cs="仿宋"/>
          <w:color w:val="000000" w:themeColor="text1"/>
          <w:szCs w:val="28"/>
          <w:lang w:val="en-US" w:eastAsia="zh-CN" w:bidi="ar"/>
          <w14:textFill>
            <w14:solidFill>
              <w14:schemeClr w14:val="tx1"/>
            </w14:solidFill>
          </w14:textFill>
        </w:rPr>
        <w:t>市场分析、</w:t>
      </w:r>
      <w:r>
        <w:rPr>
          <w:rFonts w:hint="eastAsia" w:ascii="仿宋" w:hAnsi="仿宋" w:eastAsia="仿宋" w:cs="仿宋"/>
          <w:color w:val="000000" w:themeColor="text1"/>
          <w:szCs w:val="28"/>
          <w:lang w:val="zh-CN" w:eastAsia="zh-CN" w:bidi="ar"/>
          <w14:textFill>
            <w14:solidFill>
              <w14:schemeClr w14:val="tx1"/>
            </w14:solidFill>
          </w14:textFill>
        </w:rPr>
        <w:t>项目建设条件、建设规模及内容、建设方案、节能、环境保护、劳动安全等方面进行研究；</w:t>
      </w:r>
      <w:r>
        <w:rPr>
          <w:rFonts w:hint="eastAsia" w:cs="仿宋"/>
          <w:color w:val="000000" w:themeColor="text1"/>
          <w:szCs w:val="28"/>
          <w:lang w:val="zh-CN" w:eastAsia="zh-CN" w:bidi="ar"/>
          <w14:textFill>
            <w14:solidFill>
              <w14:schemeClr w14:val="tx1"/>
            </w14:solidFill>
          </w14:textFill>
        </w:rPr>
        <w:t>概算</w:t>
      </w:r>
      <w:r>
        <w:rPr>
          <w:rFonts w:hint="eastAsia" w:ascii="仿宋" w:hAnsi="仿宋" w:eastAsia="仿宋" w:cs="仿宋"/>
          <w:color w:val="000000" w:themeColor="text1"/>
          <w:szCs w:val="28"/>
          <w:lang w:val="zh-CN" w:eastAsia="zh-CN" w:bidi="ar"/>
          <w14:textFill>
            <w14:solidFill>
              <w14:schemeClr w14:val="tx1"/>
            </w14:solidFill>
          </w14:textFill>
        </w:rPr>
        <w:t>建设项目的总投资，确定投资来源和项目实施进度计划，对项目的进行效益分析，为决策者提供可靠的依据。</w:t>
      </w:r>
    </w:p>
    <w:p>
      <w:pPr>
        <w:pStyle w:val="3"/>
        <w:spacing w:before="192" w:after="216"/>
        <w:rPr>
          <w:color w:val="000000" w:themeColor="text1"/>
          <w:highlight w:val="none"/>
          <w14:textFill>
            <w14:solidFill>
              <w14:schemeClr w14:val="tx1"/>
            </w14:solidFill>
          </w14:textFill>
        </w:rPr>
      </w:pPr>
      <w:bookmarkStart w:id="15" w:name="_Toc3910"/>
      <w:r>
        <w:rPr>
          <w:color w:val="000000" w:themeColor="text1"/>
          <w:highlight w:val="none"/>
          <w14:textFill>
            <w14:solidFill>
              <w14:schemeClr w14:val="tx1"/>
            </w14:solidFill>
          </w14:textFill>
        </w:rPr>
        <w:t>1.4项目概况</w:t>
      </w:r>
      <w:bookmarkEnd w:id="14"/>
      <w:bookmarkEnd w:id="15"/>
    </w:p>
    <w:p>
      <w:pPr>
        <w:pStyle w:val="4"/>
        <w:ind w:firstLine="6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1.4.1建设地点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项目建设地点位于囊谦县</w:t>
      </w:r>
      <w:r>
        <w:rPr>
          <w:rFonts w:hint="eastAsia" w:cs="仿宋"/>
          <w:color w:val="000000" w:themeColor="text1"/>
          <w:sz w:val="28"/>
          <w:szCs w:val="28"/>
          <w:lang w:val="zh-CN"/>
          <w14:textFill>
            <w14:solidFill>
              <w14:schemeClr w14:val="tx1"/>
            </w14:solidFill>
          </w14:textFill>
        </w:rPr>
        <w:t>香达镇</w:t>
      </w:r>
      <w:r>
        <w:rPr>
          <w:rFonts w:hint="eastAsia" w:ascii="仿宋" w:hAnsi="仿宋" w:eastAsia="仿宋" w:cs="仿宋"/>
          <w:color w:val="000000" w:themeColor="text1"/>
          <w:sz w:val="28"/>
          <w:szCs w:val="28"/>
          <w:lang w:val="zh-CN"/>
          <w14:textFill>
            <w14:solidFill>
              <w14:schemeClr w14:val="tx1"/>
            </w14:solidFill>
          </w14:textFill>
        </w:rPr>
        <w:t>扶贫产业园</w:t>
      </w:r>
      <w:r>
        <w:rPr>
          <w:rFonts w:hint="eastAsia" w:cs="仿宋"/>
          <w:color w:val="000000" w:themeColor="text1"/>
          <w:sz w:val="28"/>
          <w:szCs w:val="28"/>
          <w:lang w:val="zh-CN"/>
          <w14:textFill>
            <w14:solidFill>
              <w14:schemeClr w14:val="tx1"/>
            </w14:solidFill>
          </w14:textFill>
        </w:rPr>
        <w:t>内</w:t>
      </w:r>
      <w:r>
        <w:rPr>
          <w:rFonts w:hint="eastAsia" w:ascii="仿宋" w:hAnsi="仿宋" w:eastAsia="仿宋" w:cs="仿宋"/>
          <w:color w:val="000000" w:themeColor="text1"/>
          <w:sz w:val="28"/>
          <w:szCs w:val="28"/>
          <w:lang w:val="zh-CN"/>
          <w14:textFill>
            <w14:solidFill>
              <w14:schemeClr w14:val="tx1"/>
            </w14:solidFill>
          </w14:textFill>
        </w:rPr>
        <w:t>。</w:t>
      </w:r>
    </w:p>
    <w:p>
      <w:pPr>
        <w:pStyle w:val="4"/>
        <w:ind w:firstLine="6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1.4.2建设规模及内容</w:t>
      </w:r>
    </w:p>
    <w:p>
      <w:pPr>
        <w:ind w:firstLine="560"/>
        <w:rPr>
          <w:rFonts w:hint="eastAsia" w:ascii="仿宋" w:hAnsi="仿宋" w:eastAsia="仿宋" w:cs="仿宋"/>
          <w:color w:val="000000" w:themeColor="text1"/>
          <w:szCs w:val="28"/>
          <w:highlight w:val="none"/>
          <w:lang w:eastAsia="zh-CN"/>
          <w14:textFill>
            <w14:solidFill>
              <w14:schemeClr w14:val="tx1"/>
            </w14:solidFill>
          </w14:textFill>
        </w:rPr>
      </w:pPr>
      <w:r>
        <w:rPr>
          <w:rFonts w:hint="eastAsia" w:ascii="仿宋" w:hAnsi="仿宋" w:eastAsia="仿宋" w:cs="仿宋"/>
          <w:color w:val="000000" w:themeColor="text1"/>
          <w:szCs w:val="28"/>
          <w:highlight w:val="none"/>
          <w:lang w:eastAsia="zh-CN"/>
          <w14:textFill>
            <w14:solidFill>
              <w14:schemeClr w14:val="tx1"/>
            </w14:solidFill>
          </w14:textFill>
        </w:rPr>
        <w:t>（</w:t>
      </w:r>
      <w:r>
        <w:rPr>
          <w:rFonts w:hint="eastAsia" w:ascii="仿宋" w:hAnsi="仿宋" w:eastAsia="仿宋" w:cs="仿宋"/>
          <w:color w:val="000000" w:themeColor="text1"/>
          <w:szCs w:val="28"/>
          <w:highlight w:val="none"/>
          <w:lang w:val="en-US" w:eastAsia="zh-CN"/>
          <w14:textFill>
            <w14:solidFill>
              <w14:schemeClr w14:val="tx1"/>
            </w14:solidFill>
          </w14:textFill>
        </w:rPr>
        <w:t>1</w:t>
      </w:r>
      <w:r>
        <w:rPr>
          <w:rFonts w:hint="eastAsia" w:ascii="仿宋" w:hAnsi="仿宋" w:eastAsia="仿宋" w:cs="仿宋"/>
          <w:color w:val="000000" w:themeColor="text1"/>
          <w:szCs w:val="28"/>
          <w:highlight w:val="none"/>
          <w:lang w:eastAsia="zh-CN"/>
          <w14:textFill>
            <w14:solidFill>
              <w14:schemeClr w14:val="tx1"/>
            </w14:solidFill>
          </w14:textFill>
        </w:rPr>
        <w:t>）生产规模与产品方案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本项目生产黑青稞啤酒产品</w:t>
      </w:r>
      <w:r>
        <w:rPr>
          <w:rFonts w:hint="eastAsia" w:ascii="仿宋" w:hAnsi="仿宋" w:eastAsia="仿宋" w:cs="仿宋"/>
          <w:color w:val="000000" w:themeColor="text1"/>
          <w:sz w:val="28"/>
          <w:szCs w:val="28"/>
          <w:lang w:val="en-US" w:eastAsia="zh-CN"/>
          <w14:textFill>
            <w14:solidFill>
              <w14:schemeClr w14:val="tx1"/>
            </w14:solidFill>
          </w14:textFill>
        </w:rPr>
        <w:t>5000t/a，其中12°P拉格啤酒</w:t>
      </w:r>
      <w:r>
        <w:rPr>
          <w:rFonts w:hint="eastAsia" w:ascii="仿宋" w:hAnsi="仿宋" w:eastAsia="仿宋" w:cs="仿宋"/>
          <w:color w:val="000000" w:themeColor="text1"/>
          <w:sz w:val="28"/>
          <w:szCs w:val="28"/>
          <w:lang w:val="zh-CN"/>
          <w14:textFill>
            <w14:solidFill>
              <w14:schemeClr w14:val="tx1"/>
            </w14:solidFill>
          </w14:textFill>
        </w:rPr>
        <w:t>生产规模</w:t>
      </w:r>
      <w:r>
        <w:rPr>
          <w:rFonts w:hint="eastAsia" w:ascii="仿宋" w:hAnsi="仿宋" w:eastAsia="仿宋" w:cs="仿宋"/>
          <w:color w:val="000000" w:themeColor="text1"/>
          <w:sz w:val="28"/>
          <w:szCs w:val="28"/>
          <w:lang w:val="en-US" w:eastAsia="zh-CN"/>
          <w14:textFill>
            <w14:solidFill>
              <w14:schemeClr w14:val="tx1"/>
            </w14:solidFill>
          </w14:textFill>
        </w:rPr>
        <w:t>3000t/a，13.5°P黑啤</w:t>
      </w:r>
      <w:r>
        <w:rPr>
          <w:rFonts w:hint="eastAsia" w:ascii="仿宋" w:hAnsi="仿宋" w:eastAsia="仿宋" w:cs="仿宋"/>
          <w:color w:val="000000" w:themeColor="text1"/>
          <w:sz w:val="28"/>
          <w:szCs w:val="28"/>
          <w:lang w:val="zh-CN"/>
          <w14:textFill>
            <w14:solidFill>
              <w14:schemeClr w14:val="tx1"/>
            </w14:solidFill>
          </w14:textFill>
        </w:rPr>
        <w:t>生产规模</w:t>
      </w:r>
      <w:r>
        <w:rPr>
          <w:rFonts w:hint="eastAsia" w:ascii="仿宋" w:hAnsi="仿宋" w:eastAsia="仿宋" w:cs="仿宋"/>
          <w:color w:val="000000" w:themeColor="text1"/>
          <w:sz w:val="28"/>
          <w:szCs w:val="28"/>
          <w:lang w:val="en-US" w:eastAsia="zh-CN"/>
          <w14:textFill>
            <w14:solidFill>
              <w14:schemeClr w14:val="tx1"/>
            </w14:solidFill>
          </w14:textFill>
        </w:rPr>
        <w:t>2000t/a。</w:t>
      </w:r>
    </w:p>
    <w:p>
      <w:pPr>
        <w:ind w:firstLine="560"/>
        <w:rPr>
          <w:rFonts w:hint="eastAsia" w:ascii="Times New Roman" w:hAnsi="Times New Roman" w:cs="Times New Roman"/>
          <w:color w:val="000000" w:themeColor="text1"/>
          <w:szCs w:val="28"/>
          <w:highlight w:val="none"/>
          <w:lang w:val="zh-CN" w:eastAsia="zh-CN"/>
          <w14:textFill>
            <w14:solidFill>
              <w14:schemeClr w14:val="tx1"/>
            </w14:solidFill>
          </w14:textFill>
        </w:rPr>
      </w:pPr>
      <w:r>
        <w:rPr>
          <w:rFonts w:hint="eastAsia" w:ascii="仿宋" w:hAnsi="仿宋" w:eastAsia="仿宋" w:cs="仿宋"/>
          <w:color w:val="000000" w:themeColor="text1"/>
          <w:szCs w:val="28"/>
          <w:highlight w:val="none"/>
          <w:lang w:val="zh-CN" w:eastAsia="zh-CN"/>
          <w14:textFill>
            <w14:solidFill>
              <w14:schemeClr w14:val="tx1"/>
            </w14:solidFill>
          </w14:textFill>
        </w:rPr>
        <w:t>（</w:t>
      </w:r>
      <w:r>
        <w:rPr>
          <w:rFonts w:hint="eastAsia" w:ascii="仿宋" w:hAnsi="仿宋" w:eastAsia="仿宋" w:cs="仿宋"/>
          <w:color w:val="000000" w:themeColor="text1"/>
          <w:szCs w:val="28"/>
          <w:highlight w:val="none"/>
          <w:lang w:val="en-US" w:eastAsia="zh-CN"/>
          <w14:textFill>
            <w14:solidFill>
              <w14:schemeClr w14:val="tx1"/>
            </w14:solidFill>
          </w14:textFill>
        </w:rPr>
        <w:t>2</w:t>
      </w:r>
      <w:r>
        <w:rPr>
          <w:rFonts w:hint="eastAsia" w:ascii="仿宋" w:hAnsi="仿宋" w:eastAsia="仿宋" w:cs="仿宋"/>
          <w:color w:val="000000" w:themeColor="text1"/>
          <w:szCs w:val="28"/>
          <w:highlight w:val="none"/>
          <w:lang w:val="zh-CN" w:eastAsia="zh-CN"/>
          <w14:textFill>
            <w14:solidFill>
              <w14:schemeClr w14:val="tx1"/>
            </w14:solidFill>
          </w14:textFill>
        </w:rPr>
        <w:t>）土建规</w:t>
      </w:r>
      <w:r>
        <w:rPr>
          <w:rFonts w:hint="eastAsia" w:ascii="Times New Roman" w:hAnsi="Times New Roman" w:cs="Times New Roman"/>
          <w:color w:val="000000" w:themeColor="text1"/>
          <w:szCs w:val="28"/>
          <w:highlight w:val="none"/>
          <w:lang w:val="zh-CN" w:eastAsia="zh-CN"/>
          <w14:textFill>
            <w14:solidFill>
              <w14:schemeClr w14:val="tx1"/>
            </w14:solidFill>
          </w14:textFill>
        </w:rPr>
        <w:t>模</w:t>
      </w:r>
    </w:p>
    <w:p>
      <w:pPr>
        <w:ind w:firstLine="560"/>
        <w:rPr>
          <w:rFonts w:hint="eastAsia" w:ascii="仿宋" w:hAnsi="仿宋" w:eastAsia="仿宋" w:cs="仿宋"/>
          <w:bCs/>
          <w:color w:val="000000" w:themeColor="text1"/>
          <w:kern w:val="44"/>
          <w:szCs w:val="28"/>
          <w:highlight w:val="none"/>
          <w:lang w:eastAsia="zh-CN"/>
          <w14:textFill>
            <w14:solidFill>
              <w14:schemeClr w14:val="tx1"/>
            </w14:solidFill>
          </w14:textFill>
        </w:rPr>
      </w:pPr>
      <w:r>
        <w:rPr>
          <w:rFonts w:hint="eastAsia" w:ascii="仿宋" w:hAnsi="仿宋" w:eastAsia="仿宋" w:cs="仿宋"/>
          <w:bCs/>
          <w:color w:val="000000" w:themeColor="text1"/>
          <w:kern w:val="44"/>
          <w:szCs w:val="28"/>
          <w:highlight w:val="none"/>
          <w14:textFill>
            <w14:solidFill>
              <w14:schemeClr w14:val="tx1"/>
            </w14:solidFill>
          </w14:textFill>
        </w:rPr>
        <w:t>本项目</w:t>
      </w:r>
      <w:r>
        <w:rPr>
          <w:rFonts w:hint="eastAsia" w:ascii="仿宋" w:hAnsi="仿宋" w:eastAsia="仿宋" w:cs="仿宋"/>
          <w:bCs/>
          <w:color w:val="000000" w:themeColor="text1"/>
          <w:kern w:val="44"/>
          <w:szCs w:val="28"/>
          <w:highlight w:val="none"/>
          <w:lang w:eastAsia="zh-CN"/>
          <w14:textFill>
            <w14:solidFill>
              <w14:schemeClr w14:val="tx1"/>
            </w14:solidFill>
          </w14:textFill>
        </w:rPr>
        <w:t>利用现有的生产车间</w:t>
      </w:r>
      <w:r>
        <w:rPr>
          <w:rFonts w:hint="eastAsia" w:ascii="仿宋" w:hAnsi="仿宋" w:eastAsia="仿宋" w:cs="仿宋"/>
          <w:bCs/>
          <w:color w:val="000000" w:themeColor="text1"/>
          <w:kern w:val="44"/>
          <w:szCs w:val="28"/>
          <w:highlight w:val="none"/>
          <w:lang w:val="en-US" w:eastAsia="zh-CN"/>
          <w14:textFill>
            <w14:solidFill>
              <w14:schemeClr w14:val="tx1"/>
            </w14:solidFill>
          </w14:textFill>
        </w:rPr>
        <w:t>1栋，</w:t>
      </w:r>
      <w:r>
        <w:rPr>
          <w:rFonts w:hint="eastAsia" w:ascii="仿宋" w:hAnsi="仿宋" w:eastAsia="仿宋" w:cs="仿宋"/>
          <w:bCs/>
          <w:color w:val="000000" w:themeColor="text1"/>
          <w:kern w:val="44"/>
          <w:szCs w:val="28"/>
          <w:highlight w:val="none"/>
          <w:lang w:eastAsia="zh-CN"/>
          <w14:textFill>
            <w14:solidFill>
              <w14:schemeClr w14:val="tx1"/>
            </w14:solidFill>
          </w14:textFill>
        </w:rPr>
        <w:t>车间</w:t>
      </w:r>
      <w:r>
        <w:rPr>
          <w:rFonts w:hint="eastAsia" w:ascii="仿宋" w:hAnsi="仿宋" w:eastAsia="仿宋" w:cs="仿宋"/>
          <w:bCs/>
          <w:color w:val="000000" w:themeColor="text1"/>
          <w:kern w:val="44"/>
          <w:szCs w:val="28"/>
          <w:highlight w:val="none"/>
          <w14:textFill>
            <w14:solidFill>
              <w14:schemeClr w14:val="tx1"/>
            </w14:solidFill>
          </w14:textFill>
        </w:rPr>
        <w:t>建筑面积</w:t>
      </w:r>
      <w:r>
        <w:rPr>
          <w:rFonts w:hint="eastAsia" w:ascii="仿宋" w:hAnsi="仿宋" w:eastAsia="仿宋" w:cs="仿宋"/>
          <w:bCs/>
          <w:color w:val="000000" w:themeColor="text1"/>
          <w:kern w:val="44"/>
          <w:szCs w:val="28"/>
          <w:highlight w:val="none"/>
          <w:lang w:val="en-US" w:eastAsia="zh-CN"/>
          <w14:textFill>
            <w14:solidFill>
              <w14:schemeClr w14:val="tx1"/>
            </w14:solidFill>
          </w14:textFill>
        </w:rPr>
        <w:t>1082.52</w:t>
      </w:r>
      <w:r>
        <w:rPr>
          <w:rFonts w:hint="eastAsia" w:ascii="仿宋" w:hAnsi="仿宋" w:eastAsia="仿宋" w:cs="仿宋"/>
          <w:bCs/>
          <w:color w:val="000000" w:themeColor="text1"/>
          <w:kern w:val="44"/>
          <w:szCs w:val="28"/>
          <w:highlight w:val="none"/>
          <w14:textFill>
            <w14:solidFill>
              <w14:schemeClr w14:val="tx1"/>
            </w14:solidFill>
          </w14:textFill>
        </w:rPr>
        <w:t>㎡</w:t>
      </w:r>
      <w:r>
        <w:rPr>
          <w:rFonts w:hint="eastAsia" w:ascii="仿宋" w:hAnsi="仿宋" w:eastAsia="仿宋" w:cs="仿宋"/>
          <w:bCs/>
          <w:color w:val="000000" w:themeColor="text1"/>
          <w:kern w:val="44"/>
          <w:szCs w:val="28"/>
          <w:highlight w:val="none"/>
          <w:lang w:eastAsia="zh-CN"/>
          <w14:textFill>
            <w14:solidFill>
              <w14:schemeClr w14:val="tx1"/>
            </w14:solidFill>
          </w14:textFill>
        </w:rPr>
        <w:t>，将</w:t>
      </w:r>
      <w:r>
        <w:rPr>
          <w:rFonts w:hint="eastAsia" w:cs="仿宋"/>
          <w:bCs/>
          <w:color w:val="000000" w:themeColor="text1"/>
          <w:kern w:val="44"/>
          <w:szCs w:val="28"/>
          <w:highlight w:val="none"/>
          <w:lang w:eastAsia="zh-CN"/>
          <w14:textFill>
            <w14:solidFill>
              <w14:schemeClr w14:val="tx1"/>
            </w14:solidFill>
          </w14:textFill>
        </w:rPr>
        <w:t>现有的车间进行装修改造，装修内容包括室内地面、墙面、墙体隔断、吊顶工程、门窗工程、室内给排水工程、暖通工程、电气工程等，以及设置参观走廊，配套建设室外工艺管道、给排水及电气工程。</w:t>
      </w:r>
    </w:p>
    <w:p>
      <w:pPr>
        <w:ind w:firstLine="560"/>
        <w:rPr>
          <w:rFonts w:hint="eastAsia" w:ascii="仿宋" w:hAnsi="仿宋" w:eastAsia="仿宋" w:cs="仿宋"/>
          <w:color w:val="000000" w:themeColor="text1"/>
          <w:szCs w:val="28"/>
          <w:highlight w:val="none"/>
          <w:lang w:val="zh-CN"/>
          <w14:textFill>
            <w14:solidFill>
              <w14:schemeClr w14:val="tx1"/>
            </w14:solidFill>
          </w14:textFill>
        </w:rPr>
      </w:pPr>
      <w:r>
        <w:rPr>
          <w:rFonts w:hint="eastAsia" w:ascii="仿宋" w:hAnsi="仿宋" w:eastAsia="仿宋" w:cs="仿宋"/>
          <w:color w:val="000000" w:themeColor="text1"/>
          <w:szCs w:val="28"/>
          <w:highlight w:val="none"/>
          <w:lang w:val="zh-CN"/>
          <w14:textFill>
            <w14:solidFill>
              <w14:schemeClr w14:val="tx1"/>
            </w14:solidFill>
          </w14:textFill>
        </w:rPr>
        <w:t>（</w:t>
      </w:r>
      <w:r>
        <w:rPr>
          <w:rFonts w:hint="eastAsia" w:cs="仿宋"/>
          <w:color w:val="000000" w:themeColor="text1"/>
          <w:szCs w:val="28"/>
          <w:highlight w:val="none"/>
          <w:lang w:val="en-US" w:eastAsia="zh-CN"/>
          <w14:textFill>
            <w14:solidFill>
              <w14:schemeClr w14:val="tx1"/>
            </w14:solidFill>
          </w14:textFill>
        </w:rPr>
        <w:t>3</w:t>
      </w:r>
      <w:r>
        <w:rPr>
          <w:rFonts w:hint="eastAsia" w:ascii="仿宋" w:hAnsi="仿宋" w:eastAsia="仿宋" w:cs="仿宋"/>
          <w:color w:val="000000" w:themeColor="text1"/>
          <w:szCs w:val="28"/>
          <w:highlight w:val="none"/>
          <w:lang w:val="zh-CN"/>
          <w14:textFill>
            <w14:solidFill>
              <w14:schemeClr w14:val="tx1"/>
            </w14:solidFill>
          </w14:textFill>
        </w:rPr>
        <w:t>）</w:t>
      </w:r>
      <w:r>
        <w:rPr>
          <w:rFonts w:hint="eastAsia" w:cs="仿宋"/>
          <w:color w:val="000000" w:themeColor="text1"/>
          <w:szCs w:val="28"/>
          <w:highlight w:val="none"/>
          <w:lang w:val="zh-CN"/>
          <w14:textFill>
            <w14:solidFill>
              <w14:schemeClr w14:val="tx1"/>
            </w14:solidFill>
          </w14:textFill>
        </w:rPr>
        <w:t>设备规模</w:t>
      </w:r>
    </w:p>
    <w:p>
      <w:pPr>
        <w:ind w:firstLine="560"/>
        <w:rPr>
          <w:rFonts w:hint="default"/>
          <w:color w:val="000000" w:themeColor="text1"/>
          <w:highlight w:val="none"/>
          <w:lang w:val="en-US" w:eastAsia="zh-CN"/>
          <w14:textFill>
            <w14:solidFill>
              <w14:schemeClr w14:val="tx1"/>
            </w14:solidFill>
          </w14:textFill>
        </w:rPr>
      </w:pPr>
      <w:r>
        <w:rPr>
          <w:rFonts w:hint="eastAsia"/>
          <w:color w:val="000000" w:themeColor="text1"/>
          <w:sz w:val="28"/>
          <w:szCs w:val="28"/>
          <w:lang w:val="zh-CN" w:eastAsia="zh-CN"/>
          <w14:textFill>
            <w14:solidFill>
              <w14:schemeClr w14:val="tx1"/>
            </w14:solidFill>
          </w14:textFill>
        </w:rPr>
        <w:t>本项目购置</w:t>
      </w:r>
      <w:r>
        <w:rPr>
          <w:rFonts w:hint="eastAsia" w:eastAsia="仿宋"/>
          <w:color w:val="000000" w:themeColor="text1"/>
          <w:sz w:val="28"/>
          <w:szCs w:val="28"/>
          <w:lang w:val="en-US" w:eastAsia="zh-CN"/>
          <w14:textFill>
            <w14:solidFill>
              <w14:schemeClr w14:val="tx1"/>
            </w14:solidFill>
          </w14:textFill>
        </w:rPr>
        <w:t>啤酒生产线1条，包括原料处理系统、糖化系统、发酵系统、酵母扩培系统、</w:t>
      </w:r>
      <w:r>
        <w:rPr>
          <w:rFonts w:hint="eastAsia"/>
          <w:color w:val="000000" w:themeColor="text1"/>
          <w:sz w:val="28"/>
          <w:szCs w:val="28"/>
          <w:lang w:val="en-US" w:eastAsia="zh-CN"/>
          <w14:textFill>
            <w14:solidFill>
              <w14:schemeClr w14:val="tx1"/>
            </w14:solidFill>
          </w14:textFill>
        </w:rPr>
        <w:t>工艺水处理系统</w:t>
      </w:r>
      <w:r>
        <w:rPr>
          <w:rFonts w:hint="eastAsia" w:eastAsia="仿宋"/>
          <w:color w:val="000000" w:themeColor="text1"/>
          <w:sz w:val="28"/>
          <w:szCs w:val="28"/>
          <w:lang w:val="en-US" w:eastAsia="zh-CN"/>
          <w14:textFill>
            <w14:solidFill>
              <w14:schemeClr w14:val="tx1"/>
            </w14:solidFill>
          </w14:textFill>
        </w:rPr>
        <w:t>、空压系统、能源系统、</w:t>
      </w:r>
      <w:r>
        <w:rPr>
          <w:rFonts w:hint="eastAsia"/>
          <w:color w:val="000000" w:themeColor="text1"/>
          <w:sz w:val="28"/>
          <w:szCs w:val="28"/>
          <w:lang w:val="en-US" w:eastAsia="zh-CN"/>
          <w14:textFill>
            <w14:solidFill>
              <w14:schemeClr w14:val="tx1"/>
            </w14:solidFill>
          </w14:textFill>
        </w:rPr>
        <w:t>灌装单元、化验系统、污水处理系统、智能化管理等。</w:t>
      </w:r>
    </w:p>
    <w:p>
      <w:pPr>
        <w:pStyle w:val="4"/>
        <w:ind w:firstLine="6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1.4.3项目实施进度计划</w:t>
      </w:r>
    </w:p>
    <w:p>
      <w:pPr>
        <w:ind w:firstLine="560"/>
        <w:rPr>
          <w:color w:val="000000" w:themeColor="text1"/>
          <w:highlight w:val="none"/>
          <w:lang w:val="zh-CN"/>
          <w14:textFill>
            <w14:solidFill>
              <w14:schemeClr w14:val="tx1"/>
            </w14:solidFill>
          </w14:textFill>
        </w:rPr>
      </w:pPr>
      <w:r>
        <w:rPr>
          <w:color w:val="000000" w:themeColor="text1"/>
          <w:highlight w:val="none"/>
          <w:lang w:val="zh-CN"/>
          <w14:textFill>
            <w14:solidFill>
              <w14:schemeClr w14:val="tx1"/>
            </w14:solidFill>
          </w14:textFill>
        </w:rPr>
        <w:t>本项目建设期初步安排为</w:t>
      </w:r>
      <w:r>
        <w:rPr>
          <w:rFonts w:hint="eastAsia"/>
          <w:color w:val="000000" w:themeColor="text1"/>
          <w:highlight w:val="none"/>
          <w:lang w:val="en-US" w:eastAsia="zh-CN"/>
          <w14:textFill>
            <w14:solidFill>
              <w14:schemeClr w14:val="tx1"/>
            </w14:solidFill>
          </w14:textFill>
        </w:rPr>
        <w:t>12</w:t>
      </w:r>
      <w:r>
        <w:rPr>
          <w:color w:val="000000" w:themeColor="text1"/>
          <w:highlight w:val="none"/>
          <w:lang w:val="zh-CN"/>
          <w14:textFill>
            <w14:solidFill>
              <w14:schemeClr w14:val="tx1"/>
            </w14:solidFill>
          </w14:textFill>
        </w:rPr>
        <w:t>个月，即从</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color w:val="000000" w:themeColor="text1"/>
          <w:highlight w:val="none"/>
          <w:lang w:val="zh-CN"/>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lang w:val="zh-CN"/>
          <w14:textFill>
            <w14:solidFill>
              <w14:schemeClr w14:val="tx1"/>
            </w14:solidFill>
          </w14:textFill>
        </w:rPr>
        <w:t>月开始至</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w:t>
      </w:r>
      <w:r>
        <w:rPr>
          <w:color w:val="000000" w:themeColor="text1"/>
          <w:highlight w:val="none"/>
          <w:lang w:val="zh-CN"/>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color w:val="000000" w:themeColor="text1"/>
          <w:highlight w:val="none"/>
          <w:lang w:val="zh-CN"/>
          <w14:textFill>
            <w14:solidFill>
              <w14:schemeClr w14:val="tx1"/>
            </w14:solidFill>
          </w14:textFill>
        </w:rPr>
        <w:t>月结束。</w:t>
      </w:r>
    </w:p>
    <w:p>
      <w:pPr>
        <w:spacing w:line="360" w:lineRule="auto"/>
        <w:ind w:firstLine="600" w:firstLineChars="200"/>
        <w:outlineLvl w:val="2"/>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pPr>
      <w:bookmarkStart w:id="16" w:name="_Toc2239"/>
      <w:bookmarkStart w:id="17" w:name="_Toc397673280"/>
      <w:bookmarkStart w:id="18" w:name="_Toc417638665"/>
      <w:r>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t>1.4.4项目总投资及资金来源</w:t>
      </w:r>
    </w:p>
    <w:p>
      <w:pPr>
        <w:rPr>
          <w:b/>
          <w:bCs/>
          <w:color w:val="000000" w:themeColor="text1"/>
          <w:highlight w:val="none"/>
          <w:lang w:val="zh-CN"/>
          <w14:textFill>
            <w14:solidFill>
              <w14:schemeClr w14:val="tx1"/>
            </w14:solidFill>
          </w14:textFill>
        </w:rPr>
      </w:pPr>
      <w:r>
        <w:rPr>
          <w:b/>
          <w:bCs/>
          <w:color w:val="000000" w:themeColor="text1"/>
          <w:highlight w:val="none"/>
          <w:lang w:val="zh-CN"/>
          <w14:textFill>
            <w14:solidFill>
              <w14:schemeClr w14:val="tx1"/>
            </w14:solidFill>
          </w14:textFill>
        </w:rPr>
        <w:t>（1）总投资</w:t>
      </w:r>
    </w:p>
    <w:p>
      <w:pPr>
        <w:spacing w:line="360" w:lineRule="auto"/>
        <w:ind w:firstLine="560" w:firstLineChars="200"/>
        <w:rPr>
          <w:rFonts w:hint="eastAsia"/>
          <w:color w:val="000000" w:themeColor="text1"/>
          <w:highlight w:val="none"/>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本项目总投资</w:t>
      </w:r>
      <w:r>
        <w:rPr>
          <w:rFonts w:hint="eastAsia"/>
          <w:color w:val="000000" w:themeColor="text1"/>
          <w:lang w:val="en-US" w:eastAsia="zh-CN"/>
          <w14:textFill>
            <w14:solidFill>
              <w14:schemeClr w14:val="tx1"/>
            </w14:solidFill>
          </w14:textFill>
        </w:rPr>
        <w:t>1892.20万元，其中：</w:t>
      </w:r>
      <w:r>
        <w:rPr>
          <w:rFonts w:hint="eastAsia"/>
          <w:color w:val="000000" w:themeColor="text1"/>
          <w:lang w:val="zh-CN" w:eastAsia="zh-CN"/>
          <w14:textFill>
            <w14:solidFill>
              <w14:schemeClr w14:val="tx1"/>
            </w14:solidFill>
          </w14:textFill>
        </w:rPr>
        <w:t>建筑工程费用</w:t>
      </w:r>
      <w:r>
        <w:rPr>
          <w:rFonts w:hint="eastAsia"/>
          <w:color w:val="000000" w:themeColor="text1"/>
          <w:lang w:val="en-US" w:eastAsia="zh-CN"/>
          <w14:textFill>
            <w14:solidFill>
              <w14:schemeClr w14:val="tx1"/>
            </w14:solidFill>
          </w14:textFill>
        </w:rPr>
        <w:t>233.39</w:t>
      </w:r>
      <w:r>
        <w:rPr>
          <w:rFonts w:hint="eastAsia"/>
          <w:color w:val="000000" w:themeColor="text1"/>
          <w:lang w:val="zh-CN" w:eastAsia="zh-CN"/>
          <w14:textFill>
            <w14:solidFill>
              <w14:schemeClr w14:val="tx1"/>
            </w14:solidFill>
          </w14:textFill>
        </w:rPr>
        <w:t>万元，设备购置费</w:t>
      </w:r>
      <w:r>
        <w:rPr>
          <w:rFonts w:hint="eastAsia"/>
          <w:color w:val="000000" w:themeColor="text1"/>
          <w:lang w:val="en-US" w:eastAsia="zh-CN"/>
          <w14:textFill>
            <w14:solidFill>
              <w14:schemeClr w14:val="tx1"/>
            </w14:solidFill>
          </w14:textFill>
        </w:rPr>
        <w:t>1455.45万元</w:t>
      </w:r>
      <w:r>
        <w:rPr>
          <w:rFonts w:hint="eastAsia"/>
          <w:color w:val="000000" w:themeColor="text1"/>
          <w:lang w:val="zh-CN" w:eastAsia="zh-CN"/>
          <w14:textFill>
            <w14:solidFill>
              <w14:schemeClr w14:val="tx1"/>
            </w14:solidFill>
          </w14:textFill>
        </w:rPr>
        <w:t>，工程建设其他费用</w:t>
      </w:r>
      <w:r>
        <w:rPr>
          <w:rFonts w:hint="eastAsia"/>
          <w:color w:val="000000" w:themeColor="text1"/>
          <w:lang w:val="en-US" w:eastAsia="zh-CN"/>
          <w14:textFill>
            <w14:solidFill>
              <w14:schemeClr w14:val="tx1"/>
            </w14:solidFill>
          </w14:textFill>
        </w:rPr>
        <w:t>113.38</w:t>
      </w:r>
      <w:r>
        <w:rPr>
          <w:rFonts w:hint="eastAsia"/>
          <w:color w:val="000000" w:themeColor="text1"/>
          <w:lang w:val="zh-CN" w:eastAsia="zh-CN"/>
          <w14:textFill>
            <w14:solidFill>
              <w14:schemeClr w14:val="tx1"/>
            </w14:solidFill>
          </w14:textFill>
        </w:rPr>
        <w:t>万元，预备费</w:t>
      </w:r>
      <w:r>
        <w:rPr>
          <w:rFonts w:hint="eastAsia"/>
          <w:color w:val="000000" w:themeColor="text1"/>
          <w:lang w:val="en-US" w:eastAsia="zh-CN"/>
          <w14:textFill>
            <w14:solidFill>
              <w14:schemeClr w14:val="tx1"/>
            </w14:solidFill>
          </w14:textFill>
        </w:rPr>
        <w:t>89.98</w:t>
      </w:r>
      <w:r>
        <w:rPr>
          <w:rFonts w:hint="eastAsia"/>
          <w:color w:val="000000" w:themeColor="text1"/>
          <w:lang w:val="zh-CN" w:eastAsia="zh-CN"/>
          <w14:textFill>
            <w14:solidFill>
              <w14:schemeClr w14:val="tx1"/>
            </w14:solidFill>
          </w14:textFill>
        </w:rPr>
        <w:t>万元。</w:t>
      </w:r>
      <w:r>
        <w:rPr>
          <w:rFonts w:hint="eastAsia"/>
          <w:color w:val="000000" w:themeColor="text1"/>
          <w:highlight w:val="none"/>
          <w:lang w:val="zh-CN" w:eastAsia="zh-CN"/>
          <w14:textFill>
            <w14:solidFill>
              <w14:schemeClr w14:val="tx1"/>
            </w14:solidFill>
          </w14:textFill>
        </w:rPr>
        <w:t>铺底流动资金由</w:t>
      </w:r>
      <w:r>
        <w:rPr>
          <w:rFonts w:hint="eastAsia"/>
          <w:color w:val="000000" w:themeColor="text1"/>
          <w:highlight w:val="none"/>
          <w:lang w:val="zh-CN"/>
          <w14:textFill>
            <w14:solidFill>
              <w14:schemeClr w14:val="tx1"/>
            </w14:solidFill>
          </w14:textFill>
        </w:rPr>
        <w:t>入驻企业自行解决。</w:t>
      </w:r>
    </w:p>
    <w:p>
      <w:pPr>
        <w:rPr>
          <w:rFonts w:ascii="Times New Roman" w:hAnsi="Times New Roman" w:cs="Times New Roman"/>
          <w:b/>
          <w:bCs/>
          <w:color w:val="000000" w:themeColor="text1"/>
          <w:szCs w:val="28"/>
          <w:highlight w:val="none"/>
          <w:lang w:val="zh-CN"/>
          <w14:textFill>
            <w14:solidFill>
              <w14:schemeClr w14:val="tx1"/>
            </w14:solidFill>
          </w14:textFill>
        </w:rPr>
      </w:pPr>
      <w:r>
        <w:rPr>
          <w:rFonts w:hint="eastAsia" w:ascii="Times New Roman" w:hAnsi="Times New Roman" w:cs="Times New Roman"/>
          <w:b/>
          <w:bCs/>
          <w:color w:val="000000" w:themeColor="text1"/>
          <w:szCs w:val="28"/>
          <w:highlight w:val="none"/>
          <w:lang w:val="zh-CN"/>
          <w14:textFill>
            <w14:solidFill>
              <w14:schemeClr w14:val="tx1"/>
            </w14:solidFill>
          </w14:textFill>
        </w:rPr>
        <w:t>（</w:t>
      </w:r>
      <w:r>
        <w:rPr>
          <w:rFonts w:hint="eastAsia" w:ascii="Times New Roman" w:hAnsi="Times New Roman" w:cs="Times New Roman"/>
          <w:b/>
          <w:bCs/>
          <w:color w:val="000000" w:themeColor="text1"/>
          <w:szCs w:val="28"/>
          <w:highlight w:val="none"/>
          <w14:textFill>
            <w14:solidFill>
              <w14:schemeClr w14:val="tx1"/>
            </w14:solidFill>
          </w14:textFill>
        </w:rPr>
        <w:t>2</w:t>
      </w:r>
      <w:r>
        <w:rPr>
          <w:rFonts w:hint="eastAsia" w:ascii="Times New Roman" w:hAnsi="Times New Roman" w:cs="Times New Roman"/>
          <w:b/>
          <w:bCs/>
          <w:color w:val="000000" w:themeColor="text1"/>
          <w:szCs w:val="28"/>
          <w:highlight w:val="none"/>
          <w:lang w:val="zh-CN"/>
          <w14:textFill>
            <w14:solidFill>
              <w14:schemeClr w14:val="tx1"/>
            </w14:solidFill>
          </w14:textFill>
        </w:rPr>
        <w:t>）</w:t>
      </w:r>
      <w:r>
        <w:rPr>
          <w:rFonts w:ascii="Times New Roman" w:hAnsi="Times New Roman" w:cs="Times New Roman"/>
          <w:b/>
          <w:bCs/>
          <w:color w:val="000000" w:themeColor="text1"/>
          <w:szCs w:val="28"/>
          <w:highlight w:val="none"/>
          <w:lang w:val="zh-CN"/>
          <w14:textFill>
            <w14:solidFill>
              <w14:schemeClr w14:val="tx1"/>
            </w14:solidFill>
          </w14:textFill>
        </w:rPr>
        <w:t>资金来源</w:t>
      </w:r>
    </w:p>
    <w:p>
      <w:pPr>
        <w:spacing w:line="360" w:lineRule="auto"/>
        <w:ind w:firstLine="56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zh-CN"/>
          <w14:textFill>
            <w14:solidFill>
              <w14:schemeClr w14:val="tx1"/>
            </w14:solidFill>
          </w14:textFill>
        </w:rPr>
        <w:t>本项目总投资</w:t>
      </w:r>
      <w:r>
        <w:rPr>
          <w:rFonts w:hint="eastAsia"/>
          <w:color w:val="000000" w:themeColor="text1"/>
          <w:highlight w:val="none"/>
          <w:lang w:val="en-US" w:eastAsia="zh-CN"/>
          <w14:textFill>
            <w14:solidFill>
              <w14:schemeClr w14:val="tx1"/>
            </w14:solidFill>
          </w14:textFill>
        </w:rPr>
        <w:t>1892.20</w:t>
      </w:r>
      <w:r>
        <w:rPr>
          <w:rFonts w:hint="eastAsia"/>
          <w:color w:val="000000" w:themeColor="text1"/>
          <w:highlight w:val="none"/>
          <w:lang w:val="zh-CN"/>
          <w14:textFill>
            <w14:solidFill>
              <w14:schemeClr w14:val="tx1"/>
            </w14:solidFill>
          </w14:textFill>
        </w:rPr>
        <w:t>万元，</w:t>
      </w:r>
      <w:r>
        <w:rPr>
          <w:rFonts w:hint="eastAsia"/>
          <w:color w:val="000000" w:themeColor="text1"/>
          <w:highlight w:val="none"/>
          <w:lang w:val="en-US" w:eastAsia="zh-CN"/>
          <w14:textFill>
            <w14:solidFill>
              <w14:schemeClr w14:val="tx1"/>
            </w14:solidFill>
          </w14:textFill>
        </w:rPr>
        <w:t>拟申请</w:t>
      </w:r>
      <w:r>
        <w:rPr>
          <w:rFonts w:hint="eastAsia"/>
          <w:color w:val="000000" w:themeColor="text1"/>
          <w:highlight w:val="none"/>
          <w:lang w:val="zh-CN"/>
          <w14:textFill>
            <w14:solidFill>
              <w14:schemeClr w14:val="tx1"/>
            </w14:solidFill>
          </w14:textFill>
        </w:rPr>
        <w:t>财政衔接推进乡村振兴补助资金。</w:t>
      </w:r>
    </w:p>
    <w:p>
      <w:pPr>
        <w:spacing w:line="360" w:lineRule="auto"/>
        <w:ind w:firstLine="600" w:firstLineChars="200"/>
        <w:outlineLvl w:val="2"/>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pPr>
      <w:r>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t>1.4.</w:t>
      </w:r>
      <w:r>
        <w:rPr>
          <w:rFonts w:hint="eastAsia" w:ascii="方正大标宋简体" w:hAnsi="方正大标宋简体" w:eastAsia="方正大标宋简体" w:cs="方正大标宋简体"/>
          <w:color w:val="000000" w:themeColor="text1"/>
          <w:sz w:val="30"/>
          <w:szCs w:val="30"/>
          <w:lang w:val="en-US" w:eastAsia="zh-CN"/>
          <w14:textFill>
            <w14:solidFill>
              <w14:schemeClr w14:val="tx1"/>
            </w14:solidFill>
          </w14:textFill>
        </w:rPr>
        <w:t>5</w:t>
      </w:r>
      <w:r>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t>项目主要经济指标</w:t>
      </w:r>
    </w:p>
    <w:p>
      <w:pPr>
        <w:jc w:val="center"/>
        <w:rPr>
          <w:b/>
          <w:bCs/>
          <w:color w:val="000000" w:themeColor="text1"/>
          <w:sz w:val="28"/>
          <w:szCs w:val="30"/>
          <w14:textFill>
            <w14:solidFill>
              <w14:schemeClr w14:val="tx1"/>
            </w14:solidFill>
          </w14:textFill>
        </w:rPr>
      </w:pPr>
      <w:r>
        <w:rPr>
          <w:b/>
          <w:bCs/>
          <w:color w:val="000000" w:themeColor="text1"/>
          <w:sz w:val="28"/>
          <w:szCs w:val="30"/>
          <w14:textFill>
            <w14:solidFill>
              <w14:schemeClr w14:val="tx1"/>
            </w14:solidFill>
          </w14:textFill>
        </w:rPr>
        <w:t>主要技术经济指标表</w:t>
      </w:r>
    </w:p>
    <w:tbl>
      <w:tblPr>
        <w:tblStyle w:val="40"/>
        <w:tblW w:w="5000" w:type="pct"/>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27"/>
        <w:gridCol w:w="3133"/>
        <w:gridCol w:w="1119"/>
        <w:gridCol w:w="1176"/>
        <w:gridCol w:w="3133"/>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blHeader/>
        </w:trPr>
        <w:tc>
          <w:tcPr>
            <w:tcW w:w="391" w:type="pct"/>
            <w:tcBorders>
              <w:top w:val="double" w:color="000000" w:sz="4"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序号</w:t>
            </w:r>
          </w:p>
        </w:tc>
        <w:tc>
          <w:tcPr>
            <w:tcW w:w="1686" w:type="pct"/>
            <w:tcBorders>
              <w:top w:val="double" w:color="000000" w:sz="4"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项目名称</w:t>
            </w:r>
          </w:p>
        </w:tc>
        <w:tc>
          <w:tcPr>
            <w:tcW w:w="602" w:type="pct"/>
            <w:tcBorders>
              <w:top w:val="double" w:color="000000" w:sz="4"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单位</w:t>
            </w:r>
          </w:p>
        </w:tc>
        <w:tc>
          <w:tcPr>
            <w:tcW w:w="633" w:type="pct"/>
            <w:tcBorders>
              <w:top w:val="double" w:color="000000" w:sz="4"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指标</w:t>
            </w:r>
          </w:p>
        </w:tc>
        <w:tc>
          <w:tcPr>
            <w:tcW w:w="1686" w:type="pct"/>
            <w:tcBorders>
              <w:top w:val="double" w:color="000000" w:sz="4"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生产规模</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t</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5000</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黑青稞12°P拉格啤酒</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t</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3000</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达产年产量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黑青稞啤酒（13.5°P黑啤）</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t</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2000</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达产年产量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年操作天数</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天</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300</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劳动定员</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人</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40</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动力消耗</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4.1</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电</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万度</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51.75</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4.2</w:t>
            </w:r>
          </w:p>
        </w:tc>
        <w:tc>
          <w:tcPr>
            <w:tcW w:w="1686"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水</w:t>
            </w:r>
          </w:p>
        </w:tc>
        <w:tc>
          <w:tcPr>
            <w:tcW w:w="602"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t</w:t>
            </w:r>
          </w:p>
        </w:tc>
        <w:tc>
          <w:tcPr>
            <w:tcW w:w="633" w:type="pct"/>
            <w:tcBorders>
              <w:top w:val="single" w:color="000000" w:sz="6" w:space="0"/>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12205</w:t>
            </w:r>
          </w:p>
        </w:tc>
        <w:tc>
          <w:tcPr>
            <w:tcW w:w="1686" w:type="pct"/>
            <w:tcBorders>
              <w:top w:val="single" w:color="000000" w:sz="6" w:space="0"/>
              <w:left w:val="single" w:color="000000" w:sz="6" w:space="0"/>
              <w:bottom w:val="single" w:color="000000" w:sz="6"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rPr>
        <w:tc>
          <w:tcPr>
            <w:tcW w:w="391" w:type="pct"/>
            <w:tcBorders>
              <w:top w:val="single" w:color="000000" w:sz="6" w:space="0"/>
              <w:left w:val="double" w:color="000000" w:sz="4" w:space="0"/>
              <w:bottom w:val="double" w:color="000000" w:sz="4"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p>
        </w:tc>
        <w:tc>
          <w:tcPr>
            <w:tcW w:w="1686" w:type="pct"/>
            <w:tcBorders>
              <w:top w:val="single" w:color="000000" w:sz="6" w:space="0"/>
              <w:left w:val="single" w:color="000000" w:sz="6" w:space="0"/>
              <w:bottom w:val="double" w:color="000000" w:sz="4"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总投资</w:t>
            </w:r>
          </w:p>
        </w:tc>
        <w:tc>
          <w:tcPr>
            <w:tcW w:w="602" w:type="pct"/>
            <w:tcBorders>
              <w:top w:val="single" w:color="000000" w:sz="6" w:space="0"/>
              <w:left w:val="single" w:color="000000" w:sz="6" w:space="0"/>
              <w:bottom w:val="double" w:color="000000" w:sz="4"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万元</w:t>
            </w:r>
          </w:p>
        </w:tc>
        <w:tc>
          <w:tcPr>
            <w:tcW w:w="633" w:type="pct"/>
            <w:tcBorders>
              <w:top w:val="single" w:color="000000" w:sz="6" w:space="0"/>
              <w:left w:val="single" w:color="000000" w:sz="6" w:space="0"/>
              <w:bottom w:val="double" w:color="000000" w:sz="4" w:space="0"/>
              <w:right w:val="single" w:color="000000" w:sz="6"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cs="仿宋"/>
                <w:color w:val="000000" w:themeColor="text1"/>
                <w:sz w:val="24"/>
                <w:szCs w:val="24"/>
                <w:highlight w:val="none"/>
                <w:lang w:val="en-US" w:eastAsia="zh-CN"/>
                <w14:textFill>
                  <w14:solidFill>
                    <w14:schemeClr w14:val="tx1"/>
                  </w14:solidFill>
                </w14:textFill>
              </w:rPr>
              <w:t>1892.20</w:t>
            </w:r>
          </w:p>
        </w:tc>
        <w:tc>
          <w:tcPr>
            <w:tcW w:w="1686" w:type="pct"/>
            <w:tcBorders>
              <w:top w:val="single" w:color="000000" w:sz="6" w:space="0"/>
              <w:left w:val="single" w:color="000000" w:sz="6" w:space="0"/>
              <w:bottom w:val="double" w:color="000000" w:sz="4" w:space="0"/>
              <w:right w:val="double" w:color="000000"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p>
        </w:tc>
      </w:tr>
    </w:tbl>
    <w:p>
      <w:pPr>
        <w:pStyle w:val="3"/>
        <w:spacing w:before="192" w:after="216"/>
        <w:rPr>
          <w:color w:val="000000" w:themeColor="text1"/>
          <w:highlight w:val="none"/>
          <w14:textFill>
            <w14:solidFill>
              <w14:schemeClr w14:val="tx1"/>
            </w14:solidFill>
          </w14:textFill>
        </w:rPr>
      </w:pPr>
      <w:bookmarkStart w:id="19" w:name="_Toc29226"/>
      <w:r>
        <w:rPr>
          <w:color w:val="000000" w:themeColor="text1"/>
          <w:highlight w:val="none"/>
          <w14:textFill>
            <w14:solidFill>
              <w14:schemeClr w14:val="tx1"/>
            </w14:solidFill>
          </w14:textFill>
        </w:rPr>
        <w:t>1.5结论</w:t>
      </w:r>
      <w:bookmarkEnd w:id="16"/>
      <w:bookmarkEnd w:id="17"/>
      <w:bookmarkEnd w:id="18"/>
      <w:bookmarkEnd w:id="19"/>
    </w:p>
    <w:p>
      <w:pPr>
        <w:ind w:firstLine="56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eastAsia="zh-CN"/>
          <w14:textFill>
            <w14:solidFill>
              <w14:schemeClr w14:val="tx1"/>
            </w14:solidFill>
          </w14:textFill>
        </w:rPr>
        <w:t>）项目建设符合国家及青海省扶贫产业和乡村振兴的相关政策，符合青海省青稞产业战略布局和产业发展规划。</w:t>
      </w:r>
    </w:p>
    <w:p>
      <w:pPr>
        <w:ind w:firstLine="56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val="zh-CN" w:eastAsia="zh-CN"/>
          <w14:textFill>
            <w14:solidFill>
              <w14:schemeClr w14:val="tx1"/>
            </w14:solidFill>
          </w14:textFill>
        </w:rPr>
        <w:t>）项目建设进一步推动当地黑青稞种植业和精深加工业的发展，提高产品附加值，提升产业带动能力，促进青稞产业向现代化、标准化、专业化、集约化方向发展。</w:t>
      </w:r>
    </w:p>
    <w:p>
      <w:pPr>
        <w:ind w:firstLine="56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zh-CN" w:eastAsia="zh-CN"/>
          <w14:textFill>
            <w14:solidFill>
              <w14:schemeClr w14:val="tx1"/>
            </w14:solidFill>
          </w14:textFill>
        </w:rPr>
        <w:t>）项目建设可提供就业岗位</w:t>
      </w:r>
      <w:r>
        <w:rPr>
          <w:rFonts w:hint="eastAsia"/>
          <w:color w:val="000000" w:themeColor="text1"/>
          <w:highlight w:val="none"/>
          <w:lang w:val="en-US" w:eastAsia="zh-CN"/>
          <w14:textFill>
            <w14:solidFill>
              <w14:schemeClr w14:val="tx1"/>
            </w14:solidFill>
          </w14:textFill>
        </w:rPr>
        <w:t>40个</w:t>
      </w:r>
      <w:r>
        <w:rPr>
          <w:rFonts w:hint="eastAsia"/>
          <w:color w:val="000000" w:themeColor="text1"/>
          <w:highlight w:val="none"/>
          <w:lang w:val="zh-CN" w:eastAsia="zh-CN"/>
          <w14:textFill>
            <w14:solidFill>
              <w14:schemeClr w14:val="tx1"/>
            </w14:solidFill>
          </w14:textFill>
        </w:rPr>
        <w:t>，带动当地农牧民参与黑青稞种植，促进群众持续增收</w:t>
      </w:r>
      <w:r>
        <w:rPr>
          <w:rFonts w:hint="eastAsia"/>
          <w:color w:val="000000" w:themeColor="text1"/>
          <w:highlight w:val="none"/>
          <w:lang w:val="zh-CN"/>
          <w14:textFill>
            <w14:solidFill>
              <w14:schemeClr w14:val="tx1"/>
            </w14:solidFill>
          </w14:textFill>
        </w:rPr>
        <w:t>，是</w:t>
      </w:r>
      <w:r>
        <w:rPr>
          <w:rFonts w:hint="eastAsia"/>
          <w:color w:val="000000" w:themeColor="text1"/>
          <w:highlight w:val="none"/>
          <w:lang w:val="en-US" w:eastAsia="zh-CN"/>
          <w14:textFill>
            <w14:solidFill>
              <w14:schemeClr w14:val="tx1"/>
            </w14:solidFill>
          </w14:textFill>
        </w:rPr>
        <w:t>巩固脱贫成果</w:t>
      </w:r>
      <w:r>
        <w:rPr>
          <w:rFonts w:hint="eastAsia"/>
          <w:color w:val="000000" w:themeColor="text1"/>
          <w:highlight w:val="none"/>
          <w:lang w:val="zh-CN"/>
          <w14:textFill>
            <w14:solidFill>
              <w14:schemeClr w14:val="tx1"/>
            </w14:solidFill>
          </w14:textFill>
        </w:rPr>
        <w:t>的有力举措</w:t>
      </w:r>
      <w:r>
        <w:rPr>
          <w:rFonts w:hint="eastAsia"/>
          <w:color w:val="000000" w:themeColor="text1"/>
          <w:highlight w:val="none"/>
          <w:lang w:val="zh-CN" w:eastAsia="zh-CN"/>
          <w14:textFill>
            <w14:solidFill>
              <w14:schemeClr w14:val="tx1"/>
            </w14:solidFill>
          </w14:textFill>
        </w:rPr>
        <w:t>。</w:t>
      </w:r>
    </w:p>
    <w:p>
      <w:pPr>
        <w:ind w:firstLine="56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val="zh-CN" w:eastAsia="zh-CN"/>
          <w14:textFill>
            <w14:solidFill>
              <w14:schemeClr w14:val="tx1"/>
            </w14:solidFill>
          </w14:textFill>
        </w:rPr>
        <w:t>）本项目技术方案可行，建设规模确定合理，产品附加值高，资源有保障，经济和社会效益显著。</w:t>
      </w:r>
    </w:p>
    <w:p>
      <w:pPr>
        <w:pStyle w:val="2"/>
        <w:rPr>
          <w:color w:val="000000" w:themeColor="text1"/>
          <w:highlight w:val="none"/>
          <w14:textFill>
            <w14:solidFill>
              <w14:schemeClr w14:val="tx1"/>
            </w14:solidFill>
          </w14:textFill>
        </w:rPr>
      </w:pPr>
      <w:bookmarkStart w:id="20" w:name="_Toc405541647"/>
      <w:bookmarkStart w:id="21" w:name="_Toc20015"/>
      <w:bookmarkStart w:id="22" w:name="_Toc17222"/>
      <w:r>
        <w:rPr>
          <w:color w:val="000000" w:themeColor="text1"/>
          <w:highlight w:val="none"/>
          <w14:textFill>
            <w14:solidFill>
              <w14:schemeClr w14:val="tx1"/>
            </w14:solidFill>
          </w14:textFill>
        </w:rPr>
        <w:t>第2章  项目</w:t>
      </w:r>
      <w:bookmarkEnd w:id="20"/>
      <w:bookmarkStart w:id="23" w:name="_Hlt297646055"/>
      <w:bookmarkEnd w:id="23"/>
      <w:r>
        <w:rPr>
          <w:color w:val="000000" w:themeColor="text1"/>
          <w:highlight w:val="none"/>
          <w14:textFill>
            <w14:solidFill>
              <w14:schemeClr w14:val="tx1"/>
            </w14:solidFill>
          </w14:textFill>
        </w:rPr>
        <w:t>现状与必要性</w:t>
      </w:r>
      <w:bookmarkEnd w:id="21"/>
      <w:bookmarkEnd w:id="22"/>
    </w:p>
    <w:p>
      <w:pPr>
        <w:pStyle w:val="3"/>
        <w:bidi w:val="0"/>
        <w:rPr>
          <w:color w:val="000000" w:themeColor="text1"/>
          <w14:textFill>
            <w14:solidFill>
              <w14:schemeClr w14:val="tx1"/>
            </w14:solidFill>
          </w14:textFill>
        </w:rPr>
      </w:pPr>
      <w:bookmarkStart w:id="24" w:name="_Toc2304"/>
      <w:bookmarkStart w:id="25" w:name="_Toc8710"/>
      <w:r>
        <w:rPr>
          <w:color w:val="000000" w:themeColor="text1"/>
          <w14:textFill>
            <w14:solidFill>
              <w14:schemeClr w14:val="tx1"/>
            </w14:solidFill>
          </w14:textFill>
        </w:rPr>
        <w:t>2.1项目现</w:t>
      </w:r>
      <w:bookmarkEnd w:id="24"/>
      <w:r>
        <w:rPr>
          <w:color w:val="000000" w:themeColor="text1"/>
          <w14:textFill>
            <w14:solidFill>
              <w14:schemeClr w14:val="tx1"/>
            </w14:solidFill>
          </w14:textFill>
        </w:rPr>
        <w:t>状</w:t>
      </w:r>
      <w:bookmarkEnd w:id="25"/>
    </w:p>
    <w:p>
      <w:pPr>
        <w:pStyle w:val="4"/>
        <w:bidi w:val="0"/>
        <w:rPr>
          <w:rFonts w:hint="eastAsia"/>
          <w:color w:val="000000" w:themeColor="text1"/>
          <w:lang w:val="zh-CN"/>
          <w14:textFill>
            <w14:solidFill>
              <w14:schemeClr w14:val="tx1"/>
            </w14:solidFill>
          </w14:textFill>
        </w:rPr>
      </w:pPr>
      <w:bookmarkStart w:id="26" w:name="_Toc291595278"/>
      <w:bookmarkStart w:id="27" w:name="_Toc14656"/>
      <w:r>
        <w:rPr>
          <w:rFonts w:hint="eastAsia"/>
          <w:color w:val="000000" w:themeColor="text1"/>
          <w:lang w:val="zh-CN"/>
          <w14:textFill>
            <w14:solidFill>
              <w14:schemeClr w14:val="tx1"/>
            </w14:solidFill>
          </w14:textFill>
        </w:rPr>
        <w:t>2.</w:t>
      </w:r>
      <w:r>
        <w:rPr>
          <w:rFonts w:hint="eastAsia"/>
          <w:color w:val="000000" w:themeColor="text1"/>
          <w:lang w:val="en-US" w:eastAsia="zh-CN"/>
          <w14:textFill>
            <w14:solidFill>
              <w14:schemeClr w14:val="tx1"/>
            </w14:solidFill>
          </w14:textFill>
        </w:rPr>
        <w:t>1</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val="zh-CN"/>
          <w14:textFill>
            <w14:solidFill>
              <w14:schemeClr w14:val="tx1"/>
            </w14:solidFill>
          </w14:textFill>
        </w:rPr>
        <w:t>囊谦县黑青稞种植现状</w:t>
      </w:r>
    </w:p>
    <w:p>
      <w:pPr>
        <w:ind w:firstLine="56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14:textFill>
            <w14:solidFill>
              <w14:schemeClr w14:val="tx1"/>
            </w14:solidFill>
          </w14:textFill>
        </w:rPr>
        <w:t>囊谦县是玉树州的农业大县，是玉树黑青稞的主要种植地，囊谦县粮食作物播种面积为79253亩，总产量为10764.56t，青稞播种面积70753亩，总产量为19370.94t。近年来，</w:t>
      </w:r>
      <w:r>
        <w:rPr>
          <w:rFonts w:hint="eastAsia"/>
          <w:color w:val="000000" w:themeColor="text1"/>
          <w:highlight w:val="none"/>
          <w:lang w:val="zh-CN" w:eastAsia="zh-CN"/>
          <w14:textFill>
            <w14:solidFill>
              <w14:schemeClr w14:val="tx1"/>
            </w14:solidFill>
          </w14:textFill>
        </w:rPr>
        <w:t>囊谦县积极构建利益联结机制，鼓励农牧民调整种植业结构，扩大青稞种植面积，黑青稞种植规模持续扩大。</w:t>
      </w:r>
      <w:r>
        <w:rPr>
          <w:rFonts w:hint="eastAsia"/>
          <w:color w:val="000000" w:themeColor="text1"/>
          <w:highlight w:val="none"/>
          <w14:textFill>
            <w14:solidFill>
              <w14:schemeClr w14:val="tx1"/>
            </w14:solidFill>
          </w14:textFill>
        </w:rPr>
        <w:t>当地农牧民通过发展千亩优质有机黑青稞种植产业计划，按照“村为基础、整乡推进、片区打造，统一规划、产业发展”的扶贫方针，将闲置土地流转，碎片土地整合，全力打造“黑青稞种植示范基地”。通过黑青稞种植助力</w:t>
      </w:r>
      <w:r>
        <w:rPr>
          <w:rFonts w:hint="eastAsia"/>
          <w:color w:val="000000" w:themeColor="text1"/>
          <w:highlight w:val="none"/>
          <w:lang w:eastAsia="zh-CN"/>
          <w14:textFill>
            <w14:solidFill>
              <w14:schemeClr w14:val="tx1"/>
            </w14:solidFill>
          </w14:textFill>
        </w:rPr>
        <w:t>囊谦</w:t>
      </w:r>
      <w:r>
        <w:rPr>
          <w:rFonts w:hint="eastAsia"/>
          <w:color w:val="000000" w:themeColor="text1"/>
          <w:highlight w:val="none"/>
          <w14:textFill>
            <w14:solidFill>
              <w14:schemeClr w14:val="tx1"/>
            </w14:solidFill>
          </w14:textFill>
        </w:rPr>
        <w:t>特色产业发展，打造出了当地农牧民新的增收亮点。</w:t>
      </w:r>
      <w:r>
        <w:rPr>
          <w:rFonts w:hint="eastAsia"/>
          <w:color w:val="000000" w:themeColor="text1"/>
          <w:highlight w:val="none"/>
          <w:lang w:val="zh-CN" w:eastAsia="zh-CN"/>
          <w14:textFill>
            <w14:solidFill>
              <w14:schemeClr w14:val="tx1"/>
            </w14:solidFill>
          </w14:textFill>
        </w:rPr>
        <w:t>全县黑青稞集中连片种植面积从2014年的5400亩增加至2020年的2万亩。</w:t>
      </w:r>
      <w:r>
        <w:rPr>
          <w:rFonts w:hint="eastAsia"/>
          <w:color w:val="000000" w:themeColor="text1"/>
          <w:highlight w:val="none"/>
          <w14:textFill>
            <w14:solidFill>
              <w14:schemeClr w14:val="tx1"/>
            </w14:solidFill>
          </w14:textFill>
        </w:rPr>
        <w:t>但因没有系列生产加工基地，不能生产出精细产品，走不出市场，使囊谦县这一特色农产品附加值得不到提升，没有给农牧民带来更多的收益。</w:t>
      </w:r>
    </w:p>
    <w:p>
      <w:pPr>
        <w:pStyle w:val="4"/>
        <w:bidi w:val="0"/>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囊谦县扶贫产业园现状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eastAsia="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囊谦县产业扶贫园区占地面积近6.7万平方米。2016年，囊谦县政府先后投入4198.6万元建成了研发楼、厂房、孵化园、员工食宿楼、办公楼等一系列产业园配套设施并投入使用。产业园于2017年建成，截至目前，园区共有13家小微企业进驻产业园，涵盖牦牛绒加工、牦牛乳加工、青稞产品加工、藏香、藏酒、制陶、刻画、唐卡画等特色产品；扶贫园区内员工达136人，其中包括建档立卡贫困户有82人。园区通过发展当地特色产业实现精准脱贫，有效解决了一部分贫困户家庭剩余劳动力就业，使更多的贫困户分享到了农牧业产业带来的效益，通过产业提升带动脱贫致富。</w:t>
      </w:r>
    </w:p>
    <w:p>
      <w:pPr>
        <w:bidi w:val="0"/>
        <w:rPr>
          <w:color w:val="000000" w:themeColor="text1"/>
          <w:lang w:val="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项目建设利用囊谦县扶贫园产业区现有产业车间</w:t>
      </w:r>
      <w:r>
        <w:rPr>
          <w:rFonts w:hint="eastAsia" w:ascii="仿宋" w:hAnsi="仿宋" w:eastAsia="仿宋" w:cs="仿宋"/>
          <w:color w:val="000000" w:themeColor="text1"/>
          <w:sz w:val="28"/>
          <w:szCs w:val="28"/>
          <w:lang w:val="en-US" w:eastAsia="zh-CN"/>
          <w14:textFill>
            <w14:solidFill>
              <w14:schemeClr w14:val="tx1"/>
            </w14:solidFill>
          </w14:textFill>
        </w:rPr>
        <w:t>1栋作为啤酒生产车间</w:t>
      </w:r>
      <w:r>
        <w:rPr>
          <w:rFonts w:hint="eastAsia" w:ascii="仿宋" w:hAnsi="仿宋" w:eastAsia="仿宋" w:cs="仿宋"/>
          <w:color w:val="000000" w:themeColor="text1"/>
          <w:sz w:val="28"/>
          <w:szCs w:val="28"/>
          <w:lang w:val="zh-CN" w:eastAsia="zh-CN"/>
          <w14:textFill>
            <w14:solidFill>
              <w14:schemeClr w14:val="tx1"/>
            </w14:solidFill>
          </w14:textFill>
        </w:rPr>
        <w:t>，该车间于</w:t>
      </w:r>
      <w:r>
        <w:rPr>
          <w:rFonts w:hint="eastAsia" w:ascii="仿宋" w:hAnsi="仿宋" w:eastAsia="仿宋" w:cs="仿宋"/>
          <w:color w:val="000000" w:themeColor="text1"/>
          <w:sz w:val="28"/>
          <w:szCs w:val="28"/>
          <w:lang w:val="en-US" w:eastAsia="zh-CN"/>
          <w14:textFill>
            <w14:solidFill>
              <w14:schemeClr w14:val="tx1"/>
            </w14:solidFill>
          </w14:textFill>
        </w:rPr>
        <w:t>2020年建成，总</w:t>
      </w:r>
      <w:r>
        <w:rPr>
          <w:rFonts w:hint="eastAsia" w:ascii="仿宋" w:hAnsi="仿宋" w:eastAsia="仿宋" w:cs="仿宋"/>
          <w:color w:val="000000" w:themeColor="text1"/>
          <w:sz w:val="28"/>
          <w:szCs w:val="28"/>
          <w:lang w:val="zh-CN" w:eastAsia="zh-CN"/>
          <w14:textFill>
            <w14:solidFill>
              <w14:schemeClr w14:val="tx1"/>
            </w14:solidFill>
          </w14:textFill>
        </w:rPr>
        <w:t>建筑面积</w:t>
      </w:r>
      <w:r>
        <w:rPr>
          <w:rFonts w:hint="eastAsia" w:ascii="仿宋" w:hAnsi="仿宋" w:eastAsia="仿宋" w:cs="仿宋"/>
          <w:color w:val="000000" w:themeColor="text1"/>
          <w:sz w:val="28"/>
          <w:szCs w:val="28"/>
          <w:lang w:val="en-US" w:eastAsia="zh-CN"/>
          <w14:textFill>
            <w14:solidFill>
              <w14:schemeClr w14:val="tx1"/>
            </w14:solidFill>
          </w14:textFill>
        </w:rPr>
        <w:t>1082.52</w:t>
      </w:r>
      <w:r>
        <w:rPr>
          <w:rFonts w:hint="eastAsia" w:ascii="仿宋" w:hAnsi="仿宋" w:eastAsia="仿宋" w:cs="仿宋"/>
          <w:color w:val="000000" w:themeColor="text1"/>
          <w:sz w:val="28"/>
          <w:szCs w:val="28"/>
          <w:lang w:val="zh-CN" w:eastAsia="zh-CN"/>
          <w14:textFill>
            <w14:solidFill>
              <w14:schemeClr w14:val="tx1"/>
            </w14:solidFill>
          </w14:textFill>
        </w:rPr>
        <w:t>㎡</w:t>
      </w:r>
      <w:r>
        <w:rPr>
          <w:rFonts w:hint="eastAsia" w:cs="仿宋"/>
          <w:color w:val="000000" w:themeColor="text1"/>
          <w:sz w:val="28"/>
          <w:szCs w:val="28"/>
          <w:lang w:val="zh-CN" w:eastAsia="zh-CN"/>
          <w14:textFill>
            <w14:solidFill>
              <w14:schemeClr w14:val="tx1"/>
            </w14:solidFill>
          </w14:textFill>
        </w:rPr>
        <w:t>，</w:t>
      </w:r>
      <w:r>
        <w:rPr>
          <w:rFonts w:hint="eastAsia" w:ascii="仿宋" w:hAnsi="仿宋" w:eastAsia="仿宋" w:cs="仿宋"/>
          <w:color w:val="000000" w:themeColor="text1"/>
          <w:sz w:val="28"/>
          <w:szCs w:val="28"/>
          <w:lang w:val="zh-CN" w:eastAsia="zh-CN"/>
          <w14:textFill>
            <w14:solidFill>
              <w14:schemeClr w14:val="tx1"/>
            </w14:solidFill>
          </w14:textFill>
        </w:rPr>
        <w:t>车间结构形式为门式刚架轻型房屋钢结构。</w:t>
      </w:r>
      <w:r>
        <w:rPr>
          <w:rFonts w:hint="eastAsia" w:cs="仿宋"/>
          <w:color w:val="000000" w:themeColor="text1"/>
          <w:sz w:val="28"/>
          <w:szCs w:val="28"/>
          <w:lang w:val="zh-CN" w:eastAsia="zh-CN"/>
          <w14:textFill>
            <w14:solidFill>
              <w14:schemeClr w14:val="tx1"/>
            </w14:solidFill>
          </w14:textFill>
        </w:rPr>
        <w:t>项目</w:t>
      </w:r>
      <w:r>
        <w:rPr>
          <w:rFonts w:hint="eastAsia"/>
          <w:color w:val="000000" w:themeColor="text1"/>
          <w:szCs w:val="28"/>
          <w:highlight w:val="none"/>
          <w:lang w:eastAsia="zh-CN"/>
          <w14:textFill>
            <w14:solidFill>
              <w14:schemeClr w14:val="tx1"/>
            </w14:solidFill>
          </w14:textFill>
        </w:rPr>
        <w:t>给水由</w:t>
      </w:r>
      <w:r>
        <w:rPr>
          <w:rFonts w:hint="eastAsia" w:ascii="仿宋" w:hAnsi="仿宋" w:eastAsia="仿宋" w:cs="仿宋"/>
          <w:color w:val="000000" w:themeColor="text1"/>
          <w:sz w:val="28"/>
          <w:szCs w:val="28"/>
          <w:lang w:val="zh-CN" w:eastAsia="zh-CN"/>
          <w14:textFill>
            <w14:solidFill>
              <w14:schemeClr w14:val="tx1"/>
            </w14:solidFill>
          </w14:textFill>
        </w:rPr>
        <w:t>扶贫园产业</w:t>
      </w:r>
      <w:r>
        <w:rPr>
          <w:rFonts w:hint="eastAsia" w:cs="仿宋"/>
          <w:color w:val="000000" w:themeColor="text1"/>
          <w:sz w:val="28"/>
          <w:szCs w:val="28"/>
          <w:lang w:val="zh-CN" w:eastAsia="zh-CN"/>
          <w14:textFill>
            <w14:solidFill>
              <w14:schemeClr w14:val="tx1"/>
            </w14:solidFill>
          </w14:textFill>
        </w:rPr>
        <w:t>园</w:t>
      </w:r>
      <w:r>
        <w:rPr>
          <w:rFonts w:hint="eastAsia"/>
          <w:color w:val="000000" w:themeColor="text1"/>
          <w:szCs w:val="28"/>
          <w:highlight w:val="none"/>
          <w14:textFill>
            <w14:solidFill>
              <w14:schemeClr w14:val="tx1"/>
            </w14:solidFill>
          </w14:textFill>
        </w:rPr>
        <w:t>东侧</w:t>
      </w:r>
      <w:r>
        <w:rPr>
          <w:rFonts w:hint="eastAsia"/>
          <w:color w:val="000000" w:themeColor="text1"/>
          <w:highlight w:val="none"/>
          <w14:textFill>
            <w14:solidFill>
              <w14:schemeClr w14:val="tx1"/>
            </w14:solidFill>
          </w14:textFill>
        </w:rPr>
        <w:t>已建给水管网</w:t>
      </w:r>
      <w:r>
        <w:rPr>
          <w:rFonts w:hint="eastAsia"/>
          <w:color w:val="000000" w:themeColor="text1"/>
          <w:highlight w:val="none"/>
          <w:lang w:eastAsia="zh-CN"/>
          <w14:textFill>
            <w14:solidFill>
              <w14:schemeClr w14:val="tx1"/>
            </w14:solidFill>
          </w14:textFill>
        </w:rPr>
        <w:t>引入，</w:t>
      </w:r>
      <w:r>
        <w:rPr>
          <w:rFonts w:hint="eastAsia"/>
          <w:color w:val="000000" w:themeColor="text1"/>
          <w:highlight w:val="none"/>
          <w14:textFill>
            <w14:solidFill>
              <w14:schemeClr w14:val="tx1"/>
            </w14:solidFill>
          </w14:textFill>
        </w:rPr>
        <w:t>管径为DN1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0</w:t>
      </w:r>
      <w:r>
        <w:rPr>
          <w:rFonts w:hint="eastAsia"/>
          <w:color w:val="000000" w:themeColor="text1"/>
          <w:highlight w:val="none"/>
          <w:lang w:eastAsia="zh-CN"/>
          <w14:textFill>
            <w14:solidFill>
              <w14:schemeClr w14:val="tx1"/>
            </w14:solidFill>
          </w14:textFill>
        </w:rPr>
        <w:t>；污水和雨水分别排入</w:t>
      </w:r>
      <w:r>
        <w:rPr>
          <w:rFonts w:hint="eastAsia" w:ascii="仿宋" w:hAnsi="仿宋" w:eastAsia="仿宋" w:cs="仿宋"/>
          <w:color w:val="000000" w:themeColor="text1"/>
          <w:sz w:val="28"/>
          <w:szCs w:val="28"/>
          <w:lang w:val="zh-CN" w:eastAsia="zh-CN"/>
          <w14:textFill>
            <w14:solidFill>
              <w14:schemeClr w14:val="tx1"/>
            </w14:solidFill>
          </w14:textFill>
        </w:rPr>
        <w:t>扶贫园产业</w:t>
      </w:r>
      <w:r>
        <w:rPr>
          <w:rFonts w:hint="eastAsia" w:cs="仿宋"/>
          <w:color w:val="000000" w:themeColor="text1"/>
          <w:sz w:val="28"/>
          <w:szCs w:val="28"/>
          <w:lang w:val="zh-CN" w:eastAsia="zh-CN"/>
          <w14:textFill>
            <w14:solidFill>
              <w14:schemeClr w14:val="tx1"/>
            </w14:solidFill>
          </w14:textFill>
        </w:rPr>
        <w:t>园</w:t>
      </w:r>
      <w:r>
        <w:rPr>
          <w:rFonts w:hint="eastAsia"/>
          <w:color w:val="000000" w:themeColor="text1"/>
          <w:highlight w:val="none"/>
          <w:lang w:eastAsia="zh-CN"/>
          <w14:textFill>
            <w14:solidFill>
              <w14:schemeClr w14:val="tx1"/>
            </w14:solidFill>
          </w14:textFill>
        </w:rPr>
        <w:t>污水和雨水</w:t>
      </w:r>
      <w:r>
        <w:rPr>
          <w:rFonts w:hint="eastAsia" w:cs="仿宋"/>
          <w:color w:val="000000" w:themeColor="text1"/>
          <w:sz w:val="28"/>
          <w:szCs w:val="28"/>
          <w:lang w:val="zh-CN" w:eastAsia="zh-CN"/>
          <w14:textFill>
            <w14:solidFill>
              <w14:schemeClr w14:val="tx1"/>
            </w14:solidFill>
          </w14:textFill>
        </w:rPr>
        <w:t>管网；</w:t>
      </w:r>
      <w:r>
        <w:rPr>
          <w:rFonts w:hint="eastAsia"/>
          <w:color w:val="000000" w:themeColor="text1"/>
          <w:lang w:val="en-US" w:eastAsia="zh-CN"/>
          <w14:textFill>
            <w14:solidFill>
              <w14:schemeClr w14:val="tx1"/>
            </w14:solidFill>
          </w14:textFill>
        </w:rPr>
        <w:t>用电由</w:t>
      </w:r>
      <w:r>
        <w:rPr>
          <w:rFonts w:hint="eastAsia" w:ascii="仿宋" w:hAnsi="仿宋" w:eastAsia="仿宋" w:cs="仿宋"/>
          <w:color w:val="000000" w:themeColor="text1"/>
          <w:sz w:val="28"/>
          <w:szCs w:val="28"/>
          <w:lang w:val="zh-CN" w:eastAsia="zh-CN"/>
          <w14:textFill>
            <w14:solidFill>
              <w14:schemeClr w14:val="tx1"/>
            </w14:solidFill>
          </w14:textFill>
        </w:rPr>
        <w:t>扶贫园产业</w:t>
      </w:r>
      <w:r>
        <w:rPr>
          <w:rFonts w:hint="eastAsia" w:cs="仿宋"/>
          <w:color w:val="000000" w:themeColor="text1"/>
          <w:sz w:val="28"/>
          <w:szCs w:val="28"/>
          <w:lang w:val="zh-CN" w:eastAsia="zh-CN"/>
          <w14:textFill>
            <w14:solidFill>
              <w14:schemeClr w14:val="tx1"/>
            </w14:solidFill>
          </w14:textFill>
        </w:rPr>
        <w:t>园</w:t>
      </w:r>
      <w:r>
        <w:rPr>
          <w:rFonts w:hint="eastAsia"/>
          <w:color w:val="000000" w:themeColor="text1"/>
          <w:lang w:val="en-US" w:eastAsia="zh-CN"/>
          <w14:textFill>
            <w14:solidFill>
              <w14:schemeClr w14:val="tx1"/>
            </w14:solidFill>
          </w14:textFill>
        </w:rPr>
        <w:t>10kV市政高压电网T接引入；</w:t>
      </w:r>
      <w:r>
        <w:rPr>
          <w:rFonts w:hint="eastAsia"/>
          <w:color w:val="000000" w:themeColor="text1"/>
          <w:lang w:val="zh-CN"/>
          <w14:textFill>
            <w14:solidFill>
              <w14:schemeClr w14:val="tx1"/>
            </w14:solidFill>
          </w14:textFill>
        </w:rPr>
        <w:t>热源</w:t>
      </w:r>
      <w:r>
        <w:rPr>
          <w:color w:val="000000" w:themeColor="text1"/>
          <w:lang w:val="zh-CN"/>
          <w14:textFill>
            <w14:solidFill>
              <w14:schemeClr w14:val="tx1"/>
            </w14:solidFill>
          </w14:textFill>
        </w:rPr>
        <w:t>由囊谦县扶贫产业园区锅炉房提供</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厂房</w:t>
      </w:r>
      <w:r>
        <w:rPr>
          <w:color w:val="000000" w:themeColor="text1"/>
          <w:lang w:val="zh-CN"/>
          <w14:textFill>
            <w14:solidFill>
              <w14:schemeClr w14:val="tx1"/>
            </w14:solidFill>
          </w14:textFill>
        </w:rPr>
        <w:t>北侧</w:t>
      </w:r>
      <w:r>
        <w:rPr>
          <w:rFonts w:hint="eastAsia"/>
          <w:color w:val="000000" w:themeColor="text1"/>
          <w:lang w:val="zh-CN"/>
          <w14:textFill>
            <w14:solidFill>
              <w14:schemeClr w14:val="tx1"/>
            </w14:solidFill>
          </w14:textFill>
        </w:rPr>
        <w:t>已建</w:t>
      </w:r>
      <w:r>
        <w:rPr>
          <w:color w:val="000000" w:themeColor="text1"/>
          <w:lang w:val="zh-CN"/>
          <w14:textFill>
            <w14:solidFill>
              <w14:schemeClr w14:val="tx1"/>
            </w14:solidFill>
          </w14:textFill>
        </w:rPr>
        <w:t>有室外</w:t>
      </w:r>
      <w:r>
        <w:rPr>
          <w:rFonts w:hint="eastAsia"/>
          <w:color w:val="000000" w:themeColor="text1"/>
          <w:lang w:val="zh-CN"/>
          <w14:textFill>
            <w14:solidFill>
              <w14:schemeClr w14:val="tx1"/>
            </w14:solidFill>
          </w14:textFill>
        </w:rPr>
        <w:t>供热</w:t>
      </w:r>
      <w:r>
        <w:rPr>
          <w:color w:val="000000" w:themeColor="text1"/>
          <w:lang w:val="zh-CN"/>
          <w14:textFill>
            <w14:solidFill>
              <w14:schemeClr w14:val="tx1"/>
            </w14:solidFill>
          </w14:textFill>
        </w:rPr>
        <w:t>管网</w:t>
      </w:r>
      <w:r>
        <w:rPr>
          <w:rFonts w:hint="eastAsia"/>
          <w:color w:val="000000" w:themeColor="text1"/>
          <w:lang w:val="zh-CN"/>
          <w14:textFill>
            <w14:solidFill>
              <w14:schemeClr w14:val="tx1"/>
            </w14:solidFill>
          </w14:textFill>
        </w:rPr>
        <w:t>，管网管径DN150</w:t>
      </w:r>
      <w:r>
        <w:rPr>
          <w:color w:val="000000" w:themeColor="text1"/>
          <w:lang w:val="zh-CN"/>
          <w14:textFill>
            <w14:solidFill>
              <w14:schemeClr w14:val="tx1"/>
            </w14:solidFill>
          </w14:textFill>
        </w:rPr>
        <w:t>。</w:t>
      </w:r>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w:t>
      </w:r>
      <w:r>
        <w:rPr>
          <w:rFonts w:hint="eastAsia"/>
          <w:color w:val="000000" w:themeColor="text1"/>
          <w:lang w:val="en-US" w:eastAsia="zh-CN"/>
          <w14:textFill>
            <w14:solidFill>
              <w14:schemeClr w14:val="tx1"/>
            </w14:solidFill>
          </w14:textFill>
        </w:rPr>
        <w:t>1</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囊谦县青稞啤酒加工现状</w:t>
      </w:r>
    </w:p>
    <w:p>
      <w:pPr>
        <w:bidi w:val="0"/>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囊谦县现有青稞啤酒生产加工企业</w:t>
      </w:r>
      <w:r>
        <w:rPr>
          <w:rFonts w:hint="eastAsia" w:ascii="仿宋" w:hAnsi="仿宋" w:eastAsia="仿宋" w:cs="仿宋"/>
          <w:color w:val="000000" w:themeColor="text1"/>
          <w:sz w:val="28"/>
          <w:szCs w:val="28"/>
          <w:lang w:val="en-US" w:eastAsia="zh-CN"/>
          <w14:textFill>
            <w14:solidFill>
              <w14:schemeClr w14:val="tx1"/>
            </w14:solidFill>
          </w14:textFill>
        </w:rPr>
        <w:t>1家，为</w:t>
      </w:r>
      <w:r>
        <w:rPr>
          <w:rFonts w:hint="eastAsia" w:ascii="仿宋" w:hAnsi="仿宋" w:eastAsia="仿宋" w:cs="仿宋"/>
          <w:color w:val="000000" w:themeColor="text1"/>
          <w:sz w:val="28"/>
          <w:szCs w:val="28"/>
          <w:lang w:val="zh-CN" w:eastAsia="zh-CN"/>
          <w14:textFill>
            <w14:solidFill>
              <w14:schemeClr w14:val="tx1"/>
            </w14:solidFill>
          </w14:textFill>
        </w:rPr>
        <w:t>玉树州三江圣源农副产品有限公司。玉树州三江圣源农副产品有限公司（囊谦县黑青稞啤酒厂）位于玉树州囊谦县香达镇前多村江秀卡，距离县城约14公里，</w:t>
      </w:r>
      <w:r>
        <w:rPr>
          <w:rFonts w:hint="eastAsia" w:ascii="仿宋" w:hAnsi="仿宋" w:eastAsia="仿宋" w:cs="仿宋"/>
          <w:color w:val="000000" w:themeColor="text1"/>
          <w:sz w:val="28"/>
          <w:szCs w:val="28"/>
          <w:lang w:val="en-US" w:eastAsia="zh-CN"/>
          <w14:textFill>
            <w14:solidFill>
              <w14:schemeClr w14:val="tx1"/>
            </w14:solidFill>
          </w14:textFill>
        </w:rPr>
        <w:t>2015年建成。厂区总</w:t>
      </w:r>
      <w:r>
        <w:rPr>
          <w:rFonts w:hint="eastAsia" w:ascii="仿宋" w:hAnsi="仿宋" w:eastAsia="仿宋" w:cs="仿宋"/>
          <w:color w:val="000000" w:themeColor="text1"/>
          <w:sz w:val="28"/>
          <w:szCs w:val="28"/>
          <w:lang w:val="zh-CN" w:eastAsia="zh-CN"/>
          <w14:textFill>
            <w14:solidFill>
              <w14:schemeClr w14:val="tx1"/>
            </w14:solidFill>
          </w14:textFill>
        </w:rPr>
        <w:t>占地面积</w:t>
      </w:r>
      <w:r>
        <w:rPr>
          <w:rFonts w:hint="eastAsia" w:ascii="仿宋" w:hAnsi="仿宋" w:eastAsia="仿宋" w:cs="仿宋"/>
          <w:color w:val="000000" w:themeColor="text1"/>
          <w:sz w:val="28"/>
          <w:szCs w:val="28"/>
          <w:lang w:val="en-US" w:eastAsia="zh-CN"/>
          <w14:textFill>
            <w14:solidFill>
              <w14:schemeClr w14:val="tx1"/>
            </w14:solidFill>
          </w14:textFill>
        </w:rPr>
        <w:t>10000㎡</w:t>
      </w:r>
      <w:r>
        <w:rPr>
          <w:rFonts w:hint="eastAsia" w:ascii="仿宋" w:hAnsi="仿宋" w:eastAsia="仿宋" w:cs="仿宋"/>
          <w:color w:val="000000" w:themeColor="text1"/>
          <w:sz w:val="28"/>
          <w:szCs w:val="28"/>
          <w:lang w:val="zh-CN" w:eastAsia="zh-CN"/>
          <w14:textFill>
            <w14:solidFill>
              <w14:schemeClr w14:val="tx1"/>
            </w14:solidFill>
          </w14:textFill>
        </w:rPr>
        <w:t>，建成一栋生产联合车间</w:t>
      </w:r>
      <w:r>
        <w:rPr>
          <w:rFonts w:hint="eastAsia" w:ascii="仿宋" w:hAnsi="仿宋" w:eastAsia="仿宋" w:cs="仿宋"/>
          <w:color w:val="000000" w:themeColor="text1"/>
          <w:sz w:val="28"/>
          <w:szCs w:val="28"/>
          <w:lang w:val="en-US" w:eastAsia="zh-CN"/>
          <w14:textFill>
            <w14:solidFill>
              <w14:schemeClr w14:val="tx1"/>
            </w14:solidFill>
          </w14:textFill>
        </w:rPr>
        <w:t>1000㎡</w:t>
      </w:r>
      <w:r>
        <w:rPr>
          <w:rFonts w:hint="eastAsia" w:ascii="仿宋" w:hAnsi="仿宋" w:eastAsia="仿宋" w:cs="仿宋"/>
          <w:color w:val="000000" w:themeColor="text1"/>
          <w:sz w:val="28"/>
          <w:szCs w:val="28"/>
          <w:lang w:val="zh-CN" w:eastAsia="zh-CN"/>
          <w14:textFill>
            <w14:solidFill>
              <w14:schemeClr w14:val="tx1"/>
            </w14:solidFill>
          </w14:textFill>
        </w:rPr>
        <w:t>，办公生活综合楼一栋720</w:t>
      </w:r>
      <w:r>
        <w:rPr>
          <w:rFonts w:hint="eastAsia" w:ascii="仿宋" w:hAnsi="仿宋" w:eastAsia="仿宋"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zh-CN" w:eastAsia="zh-CN"/>
          <w14:textFill>
            <w14:solidFill>
              <w14:schemeClr w14:val="tx1"/>
            </w14:solidFill>
          </w14:textFill>
        </w:rPr>
        <w:t>，食品类10万级啤酒净化灌装车间</w:t>
      </w:r>
      <w:r>
        <w:rPr>
          <w:rFonts w:hint="eastAsia" w:ascii="仿宋" w:hAnsi="仿宋" w:eastAsia="仿宋" w:cs="仿宋"/>
          <w:color w:val="000000" w:themeColor="text1"/>
          <w:sz w:val="28"/>
          <w:szCs w:val="28"/>
          <w:lang w:val="en-US" w:eastAsia="zh-CN"/>
          <w14:textFill>
            <w14:solidFill>
              <w14:schemeClr w14:val="tx1"/>
            </w14:solidFill>
          </w14:textFill>
        </w:rPr>
        <w:t>300㎡</w:t>
      </w:r>
      <w:r>
        <w:rPr>
          <w:rFonts w:hint="eastAsia" w:ascii="仿宋" w:hAnsi="仿宋" w:eastAsia="仿宋" w:cs="仿宋"/>
          <w:color w:val="000000" w:themeColor="text1"/>
          <w:sz w:val="28"/>
          <w:szCs w:val="28"/>
          <w:lang w:val="zh-CN" w:eastAsia="zh-CN"/>
          <w14:textFill>
            <w14:solidFill>
              <w14:schemeClr w14:val="tx1"/>
            </w14:solidFill>
          </w14:textFill>
        </w:rPr>
        <w:t>，仓库三间</w:t>
      </w:r>
      <w:r>
        <w:rPr>
          <w:rFonts w:hint="eastAsia" w:ascii="仿宋" w:hAnsi="仿宋" w:eastAsia="仿宋" w:cs="仿宋"/>
          <w:color w:val="000000" w:themeColor="text1"/>
          <w:sz w:val="28"/>
          <w:szCs w:val="28"/>
          <w:lang w:val="en-US" w:eastAsia="zh-CN"/>
          <w14:textFill>
            <w14:solidFill>
              <w14:schemeClr w14:val="tx1"/>
            </w14:solidFill>
          </w14:textFill>
        </w:rPr>
        <w:t>500㎡，锅炉房一间50平方米。企业现有四条生产线：两条生产线（啤酒酿造实验生产线、啤酒酿造大生产线）生产使用中，另外两条易拉罐灌装线、瓶装灌装线，年生产规模年产500吨。随着</w:t>
      </w:r>
      <w:r>
        <w:rPr>
          <w:rFonts w:hint="eastAsia" w:cs="仿宋"/>
          <w:color w:val="000000" w:themeColor="text1"/>
          <w:sz w:val="28"/>
          <w:szCs w:val="28"/>
          <w:lang w:val="en-US" w:eastAsia="zh-CN"/>
          <w14:textFill>
            <w14:solidFill>
              <w14:schemeClr w14:val="tx1"/>
            </w14:solidFill>
          </w14:textFill>
        </w:rPr>
        <w:t>消费者对青稞啤酒的认可和青睐，产品</w:t>
      </w:r>
      <w:r>
        <w:rPr>
          <w:rFonts w:hint="eastAsia" w:ascii="仿宋" w:hAnsi="仿宋" w:eastAsia="仿宋" w:cs="仿宋"/>
          <w:color w:val="000000" w:themeColor="text1"/>
          <w:sz w:val="28"/>
          <w:szCs w:val="28"/>
          <w:lang w:val="en-US" w:eastAsia="zh-CN"/>
          <w14:textFill>
            <w14:solidFill>
              <w14:schemeClr w14:val="tx1"/>
            </w14:solidFill>
          </w14:textFill>
        </w:rPr>
        <w:t>需求量不断增长，</w:t>
      </w:r>
      <w:r>
        <w:rPr>
          <w:rFonts w:hint="eastAsia" w:cs="仿宋"/>
          <w:color w:val="000000" w:themeColor="text1"/>
          <w:sz w:val="28"/>
          <w:szCs w:val="28"/>
          <w:lang w:val="en-US" w:eastAsia="zh-CN"/>
          <w14:textFill>
            <w14:solidFill>
              <w14:schemeClr w14:val="tx1"/>
            </w14:solidFill>
          </w14:textFill>
        </w:rPr>
        <w:t>囊谦当地</w:t>
      </w:r>
      <w:r>
        <w:rPr>
          <w:rFonts w:hint="eastAsia" w:ascii="仿宋" w:hAnsi="仿宋" w:eastAsia="仿宋" w:cs="仿宋"/>
          <w:color w:val="000000" w:themeColor="text1"/>
          <w:sz w:val="28"/>
          <w:szCs w:val="28"/>
          <w:lang w:val="en-US" w:eastAsia="zh-CN"/>
          <w14:textFill>
            <w14:solidFill>
              <w14:schemeClr w14:val="tx1"/>
            </w14:solidFill>
          </w14:textFill>
        </w:rPr>
        <w:t>黑青稞啤酒产品供不应求</w:t>
      </w:r>
      <w:r>
        <w:rPr>
          <w:rFonts w:hint="eastAsia" w:cs="仿宋"/>
          <w:color w:val="000000" w:themeColor="text1"/>
          <w:sz w:val="28"/>
          <w:szCs w:val="28"/>
          <w:lang w:val="en-US" w:eastAsia="zh-CN"/>
          <w14:textFill>
            <w14:solidFill>
              <w14:schemeClr w14:val="tx1"/>
            </w14:solidFill>
          </w14:textFill>
        </w:rPr>
        <w:t>，产能已不能满足市场需求</w:t>
      </w:r>
      <w:r>
        <w:rPr>
          <w:rFonts w:hint="eastAsia" w:ascii="仿宋" w:hAnsi="仿宋" w:eastAsia="仿宋" w:cs="仿宋"/>
          <w:color w:val="000000" w:themeColor="text1"/>
          <w:sz w:val="28"/>
          <w:szCs w:val="28"/>
          <w:lang w:val="en-US" w:eastAsia="zh-CN"/>
          <w14:textFill>
            <w14:solidFill>
              <w14:schemeClr w14:val="tx1"/>
            </w14:solidFill>
          </w14:textFill>
        </w:rPr>
        <w:t>。</w:t>
      </w:r>
    </w:p>
    <w:p>
      <w:pPr>
        <w:pStyle w:val="3"/>
        <w:spacing w:before="100" w:beforeAutospacing="1" w:after="100" w:afterAutospacing="1" w:line="240" w:lineRule="auto"/>
        <w:rPr>
          <w:rFonts w:hint="eastAsia" w:ascii="Times New Roman" w:hAnsi="Times New Roman"/>
          <w:bCs w:val="0"/>
          <w:color w:val="000000" w:themeColor="text1"/>
          <w:sz w:val="32"/>
          <w:szCs w:val="20"/>
          <w:lang w:val="en-US" w:eastAsia="zh-CN"/>
          <w14:textFill>
            <w14:solidFill>
              <w14:schemeClr w14:val="tx1"/>
            </w14:solidFill>
          </w14:textFill>
        </w:rPr>
      </w:pPr>
      <w:bookmarkStart w:id="28" w:name="_Toc4409"/>
      <w:r>
        <w:rPr>
          <w:rFonts w:hint="eastAsia" w:ascii="Times New Roman" w:hAnsi="Times New Roman" w:eastAsia="方正大标宋简体"/>
          <w:bCs w:val="0"/>
          <w:color w:val="000000" w:themeColor="text1"/>
          <w:sz w:val="32"/>
          <w:szCs w:val="20"/>
          <w:lang w:val="en-US" w:eastAsia="zh-CN"/>
          <w14:textFill>
            <w14:solidFill>
              <w14:schemeClr w14:val="tx1"/>
            </w14:solidFill>
          </w14:textFill>
        </w:rPr>
        <w:t>2.2</w:t>
      </w:r>
      <w:r>
        <w:rPr>
          <w:rFonts w:hint="eastAsia" w:ascii="Times New Roman" w:hAnsi="Times New Roman"/>
          <w:bCs w:val="0"/>
          <w:color w:val="000000" w:themeColor="text1"/>
          <w:sz w:val="32"/>
          <w:szCs w:val="20"/>
          <w:lang w:val="en-US" w:eastAsia="zh-CN"/>
          <w14:textFill>
            <w14:solidFill>
              <w14:schemeClr w14:val="tx1"/>
            </w14:solidFill>
          </w14:textFill>
        </w:rPr>
        <w:t>项目可行性</w:t>
      </w:r>
      <w:bookmarkEnd w:id="28"/>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2.2.1行业准入条件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zh-CN"/>
          <w14:textFill>
            <w14:solidFill>
              <w14:schemeClr w14:val="tx1"/>
            </w14:solidFill>
          </w14:textFill>
        </w:rPr>
        <w:t>根据《产业结构调整指导目录（201</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lang w:val="zh-CN"/>
          <w14:textFill>
            <w14:solidFill>
              <w14:schemeClr w14:val="tx1"/>
            </w14:solidFill>
          </w14:textFill>
        </w:rPr>
        <w:t>年本）》，本项目不属于鼓励类、限制类和淘汰类项目</w:t>
      </w:r>
      <w:r>
        <w:rPr>
          <w:rFonts w:hint="eastAsia"/>
          <w:color w:val="000000" w:themeColor="text1"/>
          <w:highlight w:val="none"/>
          <w:lang w:val="zh-CN" w:eastAsia="zh-CN"/>
          <w14:textFill>
            <w14:solidFill>
              <w14:schemeClr w14:val="tx1"/>
            </w14:solidFill>
          </w14:textFill>
        </w:rPr>
        <w:t>，</w:t>
      </w:r>
      <w:r>
        <w:rPr>
          <w:rFonts w:hint="default"/>
          <w:color w:val="000000" w:themeColor="text1"/>
          <w:highlight w:val="none"/>
          <w:lang w:val="zh-CN"/>
          <w14:textFill>
            <w14:solidFill>
              <w14:schemeClr w14:val="tx1"/>
            </w14:solidFill>
          </w14:textFill>
        </w:rPr>
        <w:t>符合国家有关法律、法规和政策规定</w:t>
      </w:r>
      <w:r>
        <w:rPr>
          <w:rFonts w:hint="eastAsia"/>
          <w:color w:val="000000" w:themeColor="text1"/>
          <w:highlight w:val="none"/>
          <w:lang w:val="zh-CN"/>
          <w14:textFill>
            <w14:solidFill>
              <w14:schemeClr w14:val="tx1"/>
            </w14:solidFill>
          </w14:textFill>
        </w:rPr>
        <w:t>，项目建设</w:t>
      </w:r>
      <w:r>
        <w:rPr>
          <w:rFonts w:hint="default"/>
          <w:color w:val="000000" w:themeColor="text1"/>
          <w:highlight w:val="none"/>
          <w:lang w:val="zh-CN"/>
          <w14:textFill>
            <w14:solidFill>
              <w14:schemeClr w14:val="tx1"/>
            </w14:solidFill>
          </w14:textFill>
        </w:rPr>
        <w:t>为允许类。根据中华人民共和国环境保护行业标准</w:t>
      </w:r>
      <w:r>
        <w:rPr>
          <w:color w:val="000000" w:themeColor="text1"/>
          <w:highlight w:val="none"/>
          <w14:textFill>
            <w14:solidFill>
              <w14:schemeClr w14:val="tx1"/>
            </w14:solidFill>
          </w14:textFill>
        </w:rPr>
        <w:t>《</w:t>
      </w:r>
      <w:r>
        <w:rPr>
          <w:rFonts w:hint="default"/>
          <w:color w:val="000000" w:themeColor="text1"/>
          <w:highlight w:val="none"/>
          <w:lang w:val="zh-CN"/>
          <w14:textFill>
            <w14:solidFill>
              <w14:schemeClr w14:val="tx1"/>
            </w14:solidFill>
          </w14:textFill>
        </w:rPr>
        <w:t>清洁生产标准啤酒制造业</w:t>
      </w:r>
      <w:r>
        <w:rPr>
          <w:rFonts w:ascii="Times New Roman" w:hAnsi="Times New Roman" w:cs="Times New Roman"/>
          <w:color w:val="000000" w:themeColor="text1"/>
          <w:szCs w:val="28"/>
          <w:highlight w:val="none"/>
          <w14:textFill>
            <w14:solidFill>
              <w14:schemeClr w14:val="tx1"/>
            </w14:solidFill>
          </w14:textFill>
        </w:rPr>
        <w:t>》</w:t>
      </w:r>
      <w:r>
        <w:rPr>
          <w:rFonts w:hint="eastAsia" w:ascii="仿宋" w:hAnsi="仿宋" w:eastAsia="仿宋" w:cs="宋体"/>
          <w:color w:val="000000" w:themeColor="text1"/>
          <w:szCs w:val="28"/>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HJ/T 183-2006</w:t>
      </w:r>
      <w:r>
        <w:rPr>
          <w:rFonts w:hint="eastAsia" w:ascii="仿宋" w:hAnsi="仿宋" w:eastAsia="仿宋" w:cs="宋体"/>
          <w:color w:val="000000" w:themeColor="text1"/>
          <w:szCs w:val="28"/>
          <w:lang w:val="zh-CN" w:eastAsia="zh-CN"/>
          <w14:textFill>
            <w14:solidFill>
              <w14:schemeClr w14:val="tx1"/>
            </w14:solidFill>
          </w14:textFill>
        </w:rPr>
        <w:t>）</w:t>
      </w:r>
      <w:r>
        <w:rPr>
          <w:rFonts w:hint="eastAsia" w:cs="宋体"/>
          <w:color w:val="000000" w:themeColor="text1"/>
          <w:szCs w:val="28"/>
          <w:lang w:val="zh-CN" w:eastAsia="zh-CN"/>
          <w14:textFill>
            <w14:solidFill>
              <w14:schemeClr w14:val="tx1"/>
            </w14:solidFill>
          </w14:textFill>
        </w:rPr>
        <w:t>要求</w:t>
      </w:r>
      <w:r>
        <w:rPr>
          <w:rFonts w:hint="eastAsia"/>
          <w:color w:val="000000" w:themeColor="text1"/>
          <w:highlight w:val="none"/>
          <w:lang w:val="zh-CN" w:eastAsia="zh-CN"/>
          <w14:textFill>
            <w14:solidFill>
              <w14:schemeClr w14:val="tx1"/>
            </w14:solidFill>
          </w14:textFill>
        </w:rPr>
        <w:t>，啤酒生产过程清洁生产水平分三级技术指标：一级国际清洁生产先进水平；二级国内清洁生产先进水平；三级：国内清洁生产基本水平，</w:t>
      </w:r>
      <w:r>
        <w:rPr>
          <w:rFonts w:hint="default"/>
          <w:color w:val="000000" w:themeColor="text1"/>
          <w:highlight w:val="none"/>
          <w:lang w:val="zh-CN"/>
          <w14:textFill>
            <w14:solidFill>
              <w14:schemeClr w14:val="tx1"/>
            </w14:solidFill>
          </w14:textFill>
        </w:rPr>
        <w:t>本项目</w:t>
      </w:r>
      <w:r>
        <w:rPr>
          <w:rFonts w:hint="eastAsia"/>
          <w:color w:val="000000" w:themeColor="text1"/>
          <w:highlight w:val="none"/>
          <w:lang w:val="zh-CN" w:eastAsia="zh-CN"/>
          <w14:textFill>
            <w14:solidFill>
              <w14:schemeClr w14:val="tx1"/>
            </w14:solidFill>
          </w14:textFill>
        </w:rPr>
        <w:t>达到二级国内清洁生产先进水平。</w:t>
      </w:r>
      <w:r>
        <w:rPr>
          <w:rFonts w:hint="default"/>
          <w:color w:val="000000" w:themeColor="text1"/>
          <w:highlight w:val="none"/>
          <w:lang w:val="zh-CN"/>
          <w14:textFill>
            <w14:solidFill>
              <w14:schemeClr w14:val="tx1"/>
            </w14:solidFill>
          </w14:textFill>
        </w:rPr>
        <w:t>本项目</w:t>
      </w:r>
      <w:r>
        <w:rPr>
          <w:rFonts w:hint="eastAsia"/>
          <w:color w:val="000000" w:themeColor="text1"/>
          <w:highlight w:val="none"/>
          <w:lang w:val="zh-CN"/>
          <w14:textFill>
            <w14:solidFill>
              <w14:schemeClr w14:val="tx1"/>
            </w14:solidFill>
          </w14:textFill>
        </w:rPr>
        <w:t>拟建场址</w:t>
      </w:r>
      <w:r>
        <w:rPr>
          <w:rFonts w:hint="default"/>
          <w:color w:val="000000" w:themeColor="text1"/>
          <w:highlight w:val="none"/>
          <w:lang w:val="zh-CN"/>
          <w14:textFill>
            <w14:solidFill>
              <w14:schemeClr w14:val="tx1"/>
            </w14:solidFill>
          </w14:textFill>
        </w:rPr>
        <w:t>位于</w:t>
      </w:r>
      <w:r>
        <w:rPr>
          <w:rFonts w:hint="eastAsia"/>
          <w:color w:val="000000" w:themeColor="text1"/>
          <w:highlight w:val="none"/>
          <w:lang w:val="zh-CN" w:eastAsia="zh-CN"/>
          <w14:textFill>
            <w14:solidFill>
              <w14:schemeClr w14:val="tx1"/>
            </w14:solidFill>
          </w14:textFill>
        </w:rPr>
        <w:t>囊谦县扶贫产业园</w:t>
      </w:r>
      <w:r>
        <w:rPr>
          <w:rFonts w:hint="default"/>
          <w:color w:val="000000" w:themeColor="text1"/>
          <w:highlight w:val="none"/>
          <w:lang w:val="zh-CN"/>
          <w14:textFill>
            <w14:solidFill>
              <w14:schemeClr w14:val="tx1"/>
            </w14:solidFill>
          </w14:textFill>
        </w:rPr>
        <w:t>区</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项目选址地块属工业用地性质，项目选址符合城乡规划要求</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满足</w:t>
      </w:r>
      <w:r>
        <w:rPr>
          <w:rFonts w:hint="eastAsia"/>
          <w:color w:val="000000" w:themeColor="text1"/>
          <w:highlight w:val="none"/>
          <w:lang w:val="zh-CN" w:eastAsia="zh-CN"/>
          <w14:textFill>
            <w14:solidFill>
              <w14:schemeClr w14:val="tx1"/>
            </w14:solidFill>
          </w14:textFill>
        </w:rPr>
        <w:t>囊谦县扶贫产业园</w:t>
      </w:r>
      <w:r>
        <w:rPr>
          <w:rFonts w:hint="default"/>
          <w:color w:val="000000" w:themeColor="text1"/>
          <w:highlight w:val="none"/>
          <w:lang w:val="zh-CN"/>
          <w14:textFill>
            <w14:solidFill>
              <w14:schemeClr w14:val="tx1"/>
            </w14:solidFill>
          </w14:textFill>
        </w:rPr>
        <w:t>区产业定位、行业准入和清洁生产门槛，符合园区规划要求。</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2.2.2政策的可行性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eastAsia="zh-CN"/>
          <w14:textFill>
            <w14:solidFill>
              <w14:schemeClr w14:val="tx1"/>
            </w14:solidFill>
          </w14:textFill>
        </w:rPr>
        <w:t>根据</w:t>
      </w:r>
      <w:r>
        <w:rPr>
          <w:color w:val="000000" w:themeColor="text1"/>
          <w:highlight w:val="none"/>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青海省国民经济和社会发展第十四个五年规划和二○三五年远景目标纲要</w:t>
      </w:r>
      <w:r>
        <w:rPr>
          <w:rFonts w:ascii="Times New Roman" w:hAnsi="Times New Roman" w:cs="Times New Roman"/>
          <w:color w:val="000000" w:themeColor="text1"/>
          <w:szCs w:val="28"/>
          <w:highlight w:val="none"/>
          <w14:textFill>
            <w14:solidFill>
              <w14:schemeClr w14:val="tx1"/>
            </w14:solidFill>
          </w14:textFill>
        </w:rPr>
        <w:t>》</w:t>
      </w:r>
      <w:r>
        <w:rPr>
          <w:rFonts w:hint="eastAsia" w:ascii="Times New Roman" w:hAnsi="Times New Roman" w:cs="Times New Roman"/>
          <w:color w:val="000000" w:themeColor="text1"/>
          <w:szCs w:val="28"/>
          <w:highlight w:val="none"/>
          <w:lang w:eastAsia="zh-CN"/>
          <w14:textFill>
            <w14:solidFill>
              <w14:schemeClr w14:val="tx1"/>
            </w14:solidFill>
          </w14:textFill>
        </w:rPr>
        <w:t>、</w:t>
      </w:r>
      <w:r>
        <w:rPr>
          <w:rFonts w:hint="default" w:ascii="仿宋" w:hAnsi="仿宋" w:eastAsia="仿宋" w:cs="仿宋"/>
          <w:color w:val="000000" w:themeColor="text1"/>
          <w:szCs w:val="28"/>
          <w:lang w:val="en-US" w:eastAsia="zh-CN" w:bidi="ar"/>
          <w14:textFill>
            <w14:solidFill>
              <w14:schemeClr w14:val="tx1"/>
            </w14:solidFill>
          </w14:textFill>
        </w:rPr>
        <w:t>中共青海省委青海省人民政府《贯彻</w:t>
      </w:r>
      <w:r>
        <w:rPr>
          <w:rFonts w:hint="eastAsia" w:ascii="仿宋" w:hAnsi="仿宋" w:eastAsia="仿宋" w:cs="仿宋"/>
          <w:color w:val="000000" w:themeColor="text1"/>
          <w:szCs w:val="28"/>
          <w:lang w:val="en-US" w:eastAsia="zh-CN" w:bidi="ar"/>
          <w14:textFill>
            <w14:solidFill>
              <w14:schemeClr w14:val="tx1"/>
            </w14:solidFill>
          </w14:textFill>
        </w:rPr>
        <w:t>&lt;</w:t>
      </w:r>
      <w:r>
        <w:rPr>
          <w:rFonts w:hint="default" w:ascii="仿宋" w:hAnsi="仿宋" w:eastAsia="仿宋" w:cs="仿宋"/>
          <w:color w:val="000000" w:themeColor="text1"/>
          <w:szCs w:val="28"/>
          <w:lang w:val="en-US" w:eastAsia="zh-CN" w:bidi="ar"/>
          <w14:textFill>
            <w14:solidFill>
              <w14:schemeClr w14:val="tx1"/>
            </w14:solidFill>
          </w14:textFill>
        </w:rPr>
        <w:t>中共中央国务院关于全面推进乡村振兴加快农业农村现代化的意见</w:t>
      </w:r>
      <w:r>
        <w:rPr>
          <w:rFonts w:hint="eastAsia" w:ascii="仿宋" w:hAnsi="仿宋" w:eastAsia="仿宋" w:cs="仿宋"/>
          <w:color w:val="000000" w:themeColor="text1"/>
          <w:szCs w:val="28"/>
          <w:lang w:val="en-US" w:eastAsia="zh-CN" w:bidi="ar"/>
          <w14:textFill>
            <w14:solidFill>
              <w14:schemeClr w14:val="tx1"/>
            </w14:solidFill>
          </w14:textFill>
        </w:rPr>
        <w:t>&gt;</w:t>
      </w:r>
      <w:r>
        <w:rPr>
          <w:rFonts w:hint="default" w:ascii="仿宋" w:hAnsi="仿宋" w:eastAsia="仿宋" w:cs="仿宋"/>
          <w:color w:val="000000" w:themeColor="text1"/>
          <w:szCs w:val="28"/>
          <w:lang w:val="en-US" w:eastAsia="zh-CN" w:bidi="ar"/>
          <w14:textFill>
            <w14:solidFill>
              <w14:schemeClr w14:val="tx1"/>
            </w14:solidFill>
          </w14:textFill>
        </w:rPr>
        <w:t>的实施意见》</w:t>
      </w:r>
      <w:r>
        <w:rPr>
          <w:rFonts w:hint="eastAsia" w:cs="仿宋"/>
          <w:color w:val="000000" w:themeColor="text1"/>
          <w:szCs w:val="28"/>
          <w:lang w:val="en-US" w:eastAsia="zh-CN" w:bidi="ar"/>
          <w14:textFill>
            <w14:solidFill>
              <w14:schemeClr w14:val="tx1"/>
            </w14:solidFill>
          </w14:textFill>
        </w:rPr>
        <w:t>、</w:t>
      </w:r>
      <w:r>
        <w:rPr>
          <w:rFonts w:hint="eastAsia" w:ascii="仿宋" w:hAnsi="仿宋" w:eastAsia="仿宋" w:cs="宋体"/>
          <w:color w:val="000000" w:themeColor="text1"/>
          <w:szCs w:val="28"/>
          <w:lang w:val="zh-CN" w:eastAsia="zh-CN"/>
          <w14:textFill>
            <w14:solidFill>
              <w14:schemeClr w14:val="tx1"/>
            </w14:solidFill>
          </w14:textFill>
        </w:rPr>
        <w:t>《青海省乡村振兴战略规划（2018－2022年）》</w:t>
      </w:r>
      <w:r>
        <w:rPr>
          <w:rFonts w:hint="eastAsia" w:cs="宋体"/>
          <w:color w:val="000000" w:themeColor="text1"/>
          <w:szCs w:val="28"/>
          <w:lang w:val="zh-CN" w:eastAsia="zh-CN"/>
          <w14:textFill>
            <w14:solidFill>
              <w14:schemeClr w14:val="tx1"/>
            </w14:solidFill>
          </w14:textFill>
        </w:rPr>
        <w:t>、</w:t>
      </w:r>
      <w:r>
        <w:rPr>
          <w:rFonts w:ascii="Times New Roman" w:hAnsi="Times New Roman" w:cs="Times New Roman"/>
          <w:color w:val="000000" w:themeColor="text1"/>
          <w:szCs w:val="28"/>
          <w:highlight w:val="none"/>
          <w14:textFill>
            <w14:solidFill>
              <w14:schemeClr w14:val="tx1"/>
            </w14:solidFill>
          </w14:textFill>
        </w:rPr>
        <w:t>《</w:t>
      </w:r>
      <w:r>
        <w:rPr>
          <w:rFonts w:hint="eastAsia" w:ascii="Times New Roman" w:hAnsi="Times New Roman" w:cs="Times New Roman"/>
          <w:color w:val="000000" w:themeColor="text1"/>
          <w:szCs w:val="28"/>
          <w:highlight w:val="none"/>
          <w:lang w:eastAsia="zh-CN"/>
          <w14:textFill>
            <w14:solidFill>
              <w14:schemeClr w14:val="tx1"/>
            </w14:solidFill>
          </w14:textFill>
        </w:rPr>
        <w:t>关于</w:t>
      </w:r>
      <w:r>
        <w:rPr>
          <w:rFonts w:ascii="Times New Roman" w:hAnsi="Times New Roman" w:cs="Times New Roman"/>
          <w:color w:val="000000" w:themeColor="text1"/>
          <w:szCs w:val="28"/>
          <w:highlight w:val="none"/>
          <w14:textFill>
            <w14:solidFill>
              <w14:schemeClr w14:val="tx1"/>
            </w14:solidFill>
          </w14:textFill>
        </w:rPr>
        <w:t>加快青海省青稞产业发展的实施意见》</w:t>
      </w:r>
      <w:r>
        <w:rPr>
          <w:rFonts w:hint="eastAsia" w:ascii="Times New Roman" w:hAnsi="Times New Roman" w:cs="Times New Roman"/>
          <w:color w:val="000000" w:themeColor="text1"/>
          <w:szCs w:val="28"/>
          <w:highlight w:val="none"/>
          <w:lang w:eastAsia="zh-CN"/>
          <w14:textFill>
            <w14:solidFill>
              <w14:schemeClr w14:val="tx1"/>
            </w14:solidFill>
          </w14:textFill>
        </w:rPr>
        <w:t>等相关文件，</w:t>
      </w:r>
      <w:r>
        <w:rPr>
          <w:rFonts w:hint="eastAsia"/>
          <w:color w:val="000000" w:themeColor="text1"/>
          <w:highlight w:val="none"/>
          <w:lang w:val="zh-CN"/>
          <w14:textFill>
            <w14:solidFill>
              <w14:schemeClr w14:val="tx1"/>
            </w14:solidFill>
          </w14:textFill>
        </w:rPr>
        <w:t>项目建设属青海农牧区优势农产品黑青稞精深加工项目，</w:t>
      </w:r>
      <w:r>
        <w:rPr>
          <w:rFonts w:hint="eastAsia"/>
          <w:color w:val="000000" w:themeColor="text1"/>
          <w:highlight w:val="none"/>
          <w:lang w:val="zh-CN" w:eastAsia="zh-CN"/>
          <w14:textFill>
            <w14:solidFill>
              <w14:schemeClr w14:val="tx1"/>
            </w14:solidFill>
          </w14:textFill>
        </w:rPr>
        <w:t>对促进优势农业资源产业化发展和实现乡村振兴具有积极的推动作用和现实意义，</w:t>
      </w:r>
      <w:r>
        <w:rPr>
          <w:rFonts w:hint="eastAsia"/>
          <w:color w:val="000000" w:themeColor="text1"/>
          <w:highlight w:val="none"/>
          <w:lang w:val="zh-CN"/>
          <w14:textFill>
            <w14:solidFill>
              <w14:schemeClr w14:val="tx1"/>
            </w14:solidFill>
          </w14:textFill>
        </w:rPr>
        <w:t>符合国家和青海省扶贫产业、乡村振兴等政策，</w:t>
      </w:r>
      <w:r>
        <w:rPr>
          <w:rFonts w:hint="eastAsia"/>
          <w:color w:val="000000" w:themeColor="text1"/>
          <w:highlight w:val="none"/>
          <w:lang w:val="zh-CN" w:eastAsia="zh-CN"/>
          <w14:textFill>
            <w14:solidFill>
              <w14:schemeClr w14:val="tx1"/>
            </w14:solidFill>
          </w14:textFill>
        </w:rPr>
        <w:t>符合青海省青稞产业战略布局和产业发展规划</w:t>
      </w:r>
      <w:r>
        <w:rPr>
          <w:rFonts w:hint="eastAsia"/>
          <w:color w:val="000000" w:themeColor="text1"/>
          <w:highlight w:val="none"/>
          <w:lang w:val="zh-CN"/>
          <w14:textFill>
            <w14:solidFill>
              <w14:schemeClr w14:val="tx1"/>
            </w14:solidFill>
          </w14:textFill>
        </w:rPr>
        <w:t>。</w:t>
      </w:r>
    </w:p>
    <w:p>
      <w:pPr>
        <w:pStyle w:val="3"/>
        <w:bidi w:val="0"/>
        <w:rPr>
          <w:color w:val="000000" w:themeColor="text1"/>
          <w14:textFill>
            <w14:solidFill>
              <w14:schemeClr w14:val="tx1"/>
            </w14:solidFill>
          </w14:textFill>
        </w:rPr>
      </w:pPr>
      <w:bookmarkStart w:id="29" w:name="_Toc11332"/>
      <w:bookmarkStart w:id="30" w:name="_Toc23611"/>
      <w:r>
        <w:rPr>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项目建设必要性</w:t>
      </w:r>
      <w:bookmarkEnd w:id="29"/>
      <w:bookmarkEnd w:id="30"/>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.1是采取</w:t>
      </w:r>
      <w:r>
        <w:rPr>
          <w:rFonts w:hint="eastAsia"/>
          <w:color w:val="000000" w:themeColor="text1"/>
          <w:lang w:val="en-US" w:eastAsia="zh-CN"/>
          <w14:textFill>
            <w14:solidFill>
              <w14:schemeClr w14:val="tx1"/>
            </w14:solidFill>
          </w14:textFill>
        </w:rPr>
        <w:t>有效措施</w:t>
      </w:r>
      <w:r>
        <w:rPr>
          <w:rFonts w:hint="eastAsia"/>
          <w:color w:val="000000" w:themeColor="text1"/>
          <w:lang w:val="zh-CN"/>
          <w14:textFill>
            <w14:solidFill>
              <w14:schemeClr w14:val="tx1"/>
            </w14:solidFill>
          </w14:textFill>
        </w:rPr>
        <w:t>推动</w:t>
      </w:r>
      <w:r>
        <w:rPr>
          <w:rFonts w:hint="eastAsia"/>
          <w:color w:val="000000" w:themeColor="text1"/>
          <w:lang w:val="en-US" w:eastAsia="zh-CN"/>
          <w14:textFill>
            <w14:solidFill>
              <w14:schemeClr w14:val="tx1"/>
            </w14:solidFill>
          </w14:textFill>
        </w:rPr>
        <w:t>乡村振兴、产业振兴，</w:t>
      </w:r>
      <w:r>
        <w:rPr>
          <w:rFonts w:hint="eastAsia"/>
          <w:color w:val="000000" w:themeColor="text1"/>
          <w:lang w:val="zh-CN"/>
          <w14:textFill>
            <w14:solidFill>
              <w14:schemeClr w14:val="tx1"/>
            </w14:solidFill>
          </w14:textFill>
        </w:rPr>
        <w:t>提升青稞产业发展质量和效益的需要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产业发展是民生改善的基础，是提升藏区自我发展能力的重要支撑。黑青稞是大自然赋予玉树地区的宝贵财富。目前，玉树黑青稞资源大部分仍停留在初级加工阶段，缺乏龙头企业带动，投资规模小、加工水平不高、创新能力不足、产品附加值低，缺乏具有影响力和被消费者认可的精品，黑青稞资源优势迟迟未能转化为经济优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eastAsia="zh-CN"/>
          <w14:textFill>
            <w14:solidFill>
              <w14:schemeClr w14:val="tx1"/>
            </w14:solidFill>
          </w14:textFill>
        </w:rPr>
        <w:t>面对</w:t>
      </w:r>
      <w:r>
        <w:rPr>
          <w:rFonts w:hint="eastAsia"/>
          <w:color w:val="000000" w:themeColor="text1"/>
          <w:highlight w:val="none"/>
          <w:lang w:val="en-US" w:eastAsia="zh-CN"/>
          <w14:textFill>
            <w14:solidFill>
              <w14:schemeClr w14:val="tx1"/>
            </w14:solidFill>
          </w14:textFill>
        </w:rPr>
        <w:t>囊谦县</w:t>
      </w:r>
      <w:r>
        <w:rPr>
          <w:rFonts w:hint="eastAsia"/>
          <w:color w:val="000000" w:themeColor="text1"/>
          <w:highlight w:val="none"/>
          <w:lang w:val="zh-CN" w:eastAsia="zh-CN"/>
          <w14:textFill>
            <w14:solidFill>
              <w14:schemeClr w14:val="tx1"/>
            </w14:solidFill>
          </w14:textFill>
        </w:rPr>
        <w:t>青稞产业的发展质量仍然不高，青稞产业特色资源优势还没有得到充分发挥等现状，</w:t>
      </w:r>
      <w:r>
        <w:rPr>
          <w:rFonts w:hint="eastAsia"/>
          <w:color w:val="000000" w:themeColor="text1"/>
          <w:highlight w:val="none"/>
          <w:lang w:val="en-US" w:eastAsia="zh-CN"/>
          <w14:textFill>
            <w14:solidFill>
              <w14:schemeClr w14:val="tx1"/>
            </w14:solidFill>
          </w14:textFill>
        </w:rPr>
        <w:t>囊谦县乡村振兴局</w:t>
      </w:r>
      <w:r>
        <w:rPr>
          <w:rFonts w:hint="eastAsia"/>
          <w:color w:val="000000" w:themeColor="text1"/>
          <w:highlight w:val="none"/>
          <w:lang w:val="zh-CN" w:eastAsia="zh-CN"/>
          <w14:textFill>
            <w14:solidFill>
              <w14:schemeClr w14:val="tx1"/>
            </w14:solidFill>
          </w14:textFill>
        </w:rPr>
        <w:t>极落实相关政策，加大青稞产业扶持力度，充分依托资源优势和消费升级带来的市场新需求，</w:t>
      </w:r>
      <w:r>
        <w:rPr>
          <w:rFonts w:hint="eastAsia" w:ascii="仿宋" w:hAnsi="仿宋" w:eastAsia="仿宋" w:cs="仿宋"/>
          <w:color w:val="000000" w:themeColor="text1"/>
          <w:sz w:val="28"/>
          <w:szCs w:val="28"/>
          <w:lang w:val="zh-CN" w:eastAsia="zh-CN"/>
          <w14:textFill>
            <w14:solidFill>
              <w14:schemeClr w14:val="tx1"/>
            </w14:solidFill>
          </w14:textFill>
        </w:rPr>
        <w:t>促进青稞产业开发，推进以“企业+基地+农户+市场”的产业化经营模式，</w:t>
      </w:r>
      <w:r>
        <w:rPr>
          <w:rFonts w:hint="eastAsia"/>
          <w:color w:val="000000" w:themeColor="text1"/>
          <w:highlight w:val="none"/>
          <w:lang w:val="zh-CN" w:eastAsia="zh-CN"/>
          <w14:textFill>
            <w14:solidFill>
              <w14:schemeClr w14:val="tx1"/>
            </w14:solidFill>
          </w14:textFill>
        </w:rPr>
        <w:t>推动青稞产品加工向标准化、规模化、高值化方向发展，提高青稞产业发展质量和效益，加快青藏高原优势农畜产品走出青海，促进当地特色农业向深度和广度发展，以产业提升增强地区发展内生动力，推进乡村振兴战略高质量实施，“玉树黑青稞”品牌影响力、知名度和美誉度将进一步提升，为优势农业资源产业化发展和实现乡村振兴提供有力支撑。</w:t>
      </w:r>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是</w:t>
      </w:r>
      <w:r>
        <w:rPr>
          <w:rFonts w:hint="eastAsia"/>
          <w:color w:val="000000" w:themeColor="text1"/>
          <w:lang w:val="en-US" w:eastAsia="zh-CN"/>
          <w14:textFill>
            <w14:solidFill>
              <w14:schemeClr w14:val="tx1"/>
            </w14:solidFill>
          </w14:textFill>
        </w:rPr>
        <w:t>提高农产品附加值</w:t>
      </w:r>
      <w:r>
        <w:rPr>
          <w:rFonts w:hint="eastAsia"/>
          <w:color w:val="000000" w:themeColor="text1"/>
          <w:lang w:val="zh-CN"/>
          <w14:textFill>
            <w14:solidFill>
              <w14:schemeClr w14:val="tx1"/>
            </w14:solidFill>
          </w14:textFill>
        </w:rPr>
        <w:t>，实现农业增效、农牧民增收的需要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eastAsia="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提高农产品附加值和增加农牧民收入的有效路径</w:t>
      </w:r>
      <w:r>
        <w:rPr>
          <w:rFonts w:hint="eastAsia" w:cs="仿宋"/>
          <w:color w:val="000000" w:themeColor="text1"/>
          <w:sz w:val="28"/>
          <w:szCs w:val="28"/>
          <w:lang w:val="zh-CN" w:eastAsia="zh-CN"/>
          <w14:textFill>
            <w14:solidFill>
              <w14:schemeClr w14:val="tx1"/>
            </w14:solidFill>
          </w14:textFill>
        </w:rPr>
        <w:t>。</w:t>
      </w:r>
      <w:r>
        <w:rPr>
          <w:rFonts w:hint="eastAsia" w:ascii="仿宋" w:hAnsi="仿宋" w:eastAsia="仿宋" w:cs="仿宋"/>
          <w:color w:val="000000" w:themeColor="text1"/>
          <w:sz w:val="28"/>
          <w:szCs w:val="28"/>
          <w:lang w:val="zh-CN" w:eastAsia="zh-CN"/>
          <w14:textFill>
            <w14:solidFill>
              <w14:schemeClr w14:val="tx1"/>
            </w14:solidFill>
          </w14:textFill>
        </w:rPr>
        <w:t>《青海省国民经济和社会发展第十四个五年规划和二○三五年远景目标纲要》提出“发展特色农畜产品深度加工，增强龙头企业对产业链上下游的带动作用，提高产业集中度、科技支撑能力和全产业链发展水平，实现农畜产品加工转化增值、优质优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eastAsia="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项目建设积极构建利益联结机制，加快黑青稞种植基地建设，开发适销对路的黑青稞</w:t>
      </w:r>
      <w:r>
        <w:rPr>
          <w:rFonts w:hint="eastAsia" w:ascii="仿宋" w:hAnsi="仿宋" w:eastAsia="仿宋" w:cs="仿宋"/>
          <w:color w:val="000000" w:themeColor="text1"/>
          <w:sz w:val="28"/>
          <w:szCs w:val="28"/>
          <w:lang w:val="en-US" w:eastAsia="zh-CN"/>
          <w14:textFill>
            <w14:solidFill>
              <w14:schemeClr w14:val="tx1"/>
            </w14:solidFill>
          </w14:textFill>
        </w:rPr>
        <w:t>啤酒</w:t>
      </w:r>
      <w:r>
        <w:rPr>
          <w:rFonts w:hint="eastAsia" w:ascii="仿宋" w:hAnsi="仿宋" w:eastAsia="仿宋" w:cs="仿宋"/>
          <w:color w:val="000000" w:themeColor="text1"/>
          <w:sz w:val="28"/>
          <w:szCs w:val="28"/>
          <w:lang w:val="zh-CN" w:eastAsia="zh-CN"/>
          <w14:textFill>
            <w14:solidFill>
              <w14:schemeClr w14:val="tx1"/>
            </w14:solidFill>
          </w14:textFill>
        </w:rPr>
        <w:t>产品，从短链条、粗利用、低附加值产品向长链条、高附加值产品发展，进一步推动特色农牧业资源转化增值。</w:t>
      </w:r>
      <w:r>
        <w:rPr>
          <w:rFonts w:hint="eastAsia" w:cs="仿宋"/>
          <w:color w:val="000000" w:themeColor="text1"/>
          <w:sz w:val="28"/>
          <w:szCs w:val="28"/>
          <w:lang w:val="zh-CN" w:eastAsia="zh-CN"/>
          <w14:textFill>
            <w14:solidFill>
              <w14:schemeClr w14:val="tx1"/>
            </w14:solidFill>
          </w14:textFill>
        </w:rPr>
        <w:t>通过</w:t>
      </w:r>
      <w:r>
        <w:rPr>
          <w:rFonts w:hint="eastAsia" w:ascii="仿宋" w:hAnsi="仿宋" w:eastAsia="仿宋" w:cs="仿宋"/>
          <w:color w:val="000000" w:themeColor="text1"/>
          <w:sz w:val="28"/>
          <w:szCs w:val="28"/>
          <w:lang w:val="zh-CN" w:eastAsia="zh-CN"/>
          <w14:textFill>
            <w14:solidFill>
              <w14:schemeClr w14:val="tx1"/>
            </w14:solidFill>
          </w14:textFill>
        </w:rPr>
        <w:t>与周边</w:t>
      </w:r>
      <w:r>
        <w:rPr>
          <w:rFonts w:hint="eastAsia" w:ascii="仿宋" w:hAnsi="仿宋" w:eastAsia="仿宋" w:cs="仿宋"/>
          <w:color w:val="000000" w:themeColor="text1"/>
          <w:sz w:val="28"/>
          <w:szCs w:val="28"/>
          <w:lang w:val="en-US" w:eastAsia="zh-CN"/>
          <w14:textFill>
            <w14:solidFill>
              <w14:schemeClr w14:val="tx1"/>
            </w14:solidFill>
          </w14:textFill>
        </w:rPr>
        <w:t>种植</w:t>
      </w:r>
      <w:r>
        <w:rPr>
          <w:rFonts w:hint="eastAsia" w:ascii="仿宋" w:hAnsi="仿宋" w:eastAsia="仿宋" w:cs="仿宋"/>
          <w:color w:val="000000" w:themeColor="text1"/>
          <w:sz w:val="28"/>
          <w:szCs w:val="28"/>
          <w:lang w:val="zh-CN" w:eastAsia="zh-CN"/>
          <w14:textFill>
            <w14:solidFill>
              <w14:schemeClr w14:val="tx1"/>
            </w14:solidFill>
          </w14:textFill>
        </w:rPr>
        <w:t>基地和农户签订长期供销协议，增强产业加工和转化能力，做精做强青稞产业，形成种植、加工、销售为一体的农业产业化格局。通过项目建设带动农牧民群众参与到项目建设中来，以市场优惠价格收购农产品，保障农户的利益，</w:t>
      </w:r>
      <w:r>
        <w:rPr>
          <w:rFonts w:hint="eastAsia" w:cs="仿宋"/>
          <w:color w:val="000000" w:themeColor="text1"/>
          <w:sz w:val="28"/>
          <w:szCs w:val="28"/>
          <w:lang w:val="zh-CN" w:eastAsia="zh-CN"/>
          <w14:textFill>
            <w14:solidFill>
              <w14:schemeClr w14:val="tx1"/>
            </w14:solidFill>
          </w14:textFill>
        </w:rPr>
        <w:t>使</w:t>
      </w:r>
      <w:r>
        <w:rPr>
          <w:rFonts w:hint="eastAsia" w:ascii="仿宋" w:hAnsi="仿宋" w:eastAsia="仿宋" w:cs="仿宋"/>
          <w:color w:val="000000" w:themeColor="text1"/>
          <w:sz w:val="28"/>
          <w:szCs w:val="28"/>
          <w:lang w:val="zh-CN" w:eastAsia="zh-CN"/>
          <w14:textFill>
            <w14:solidFill>
              <w14:schemeClr w14:val="tx1"/>
            </w14:solidFill>
          </w14:textFill>
        </w:rPr>
        <w:t>更多的</w:t>
      </w:r>
      <w:r>
        <w:rPr>
          <w:rFonts w:hint="eastAsia" w:ascii="仿宋" w:hAnsi="仿宋" w:eastAsia="仿宋" w:cs="仿宋"/>
          <w:color w:val="000000" w:themeColor="text1"/>
          <w:sz w:val="28"/>
          <w:szCs w:val="28"/>
          <w:lang w:val="en-US" w:eastAsia="zh-CN"/>
          <w14:textFill>
            <w14:solidFill>
              <w14:schemeClr w14:val="tx1"/>
            </w14:solidFill>
          </w14:textFill>
        </w:rPr>
        <w:t>农牧户</w:t>
      </w:r>
      <w:r>
        <w:rPr>
          <w:rFonts w:hint="eastAsia" w:ascii="仿宋" w:hAnsi="仿宋" w:eastAsia="仿宋" w:cs="仿宋"/>
          <w:color w:val="000000" w:themeColor="text1"/>
          <w:sz w:val="28"/>
          <w:szCs w:val="28"/>
          <w:lang w:val="zh-CN" w:eastAsia="zh-CN"/>
          <w14:textFill>
            <w14:solidFill>
              <w14:schemeClr w14:val="tx1"/>
            </w14:solidFill>
          </w14:textFill>
        </w:rPr>
        <w:t>分享农牧业产业和价值链增值收益在保护价收购的基础上，形成青稞种植产业发展和效益增长、农民增收长效机制，实现农业增效、农民增收，为藏区经济社会发展</w:t>
      </w:r>
      <w:r>
        <w:rPr>
          <w:rFonts w:hint="eastAsia" w:cs="仿宋"/>
          <w:color w:val="000000" w:themeColor="text1"/>
          <w:sz w:val="28"/>
          <w:szCs w:val="28"/>
          <w:lang w:val="zh-CN" w:eastAsia="zh-CN"/>
          <w14:textFill>
            <w14:solidFill>
              <w14:schemeClr w14:val="tx1"/>
            </w14:solidFill>
          </w14:textFill>
        </w:rPr>
        <w:t>起到积极的示范带动作用</w:t>
      </w:r>
      <w:r>
        <w:rPr>
          <w:rFonts w:hint="eastAsia" w:ascii="仿宋" w:hAnsi="仿宋" w:eastAsia="仿宋" w:cs="仿宋"/>
          <w:color w:val="000000" w:themeColor="text1"/>
          <w:sz w:val="28"/>
          <w:szCs w:val="28"/>
          <w:lang w:val="zh-CN" w:eastAsia="zh-CN"/>
          <w14:textFill>
            <w14:solidFill>
              <w14:schemeClr w14:val="tx1"/>
            </w14:solidFill>
          </w14:textFill>
        </w:rPr>
        <w:t>。</w:t>
      </w:r>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是扩大优质农产品中高端供给能力，满足人民群众消费升级的需要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eastAsia="zh-CN"/>
          <w14:textFill>
            <w14:solidFill>
              <w14:schemeClr w14:val="tx1"/>
            </w14:solidFill>
          </w14:textFill>
        </w:rPr>
      </w:pPr>
      <w:r>
        <w:rPr>
          <w:rFonts w:hint="eastAsia" w:ascii="仿宋" w:hAnsi="仿宋" w:eastAsia="仿宋" w:cs="仿宋"/>
          <w:color w:val="000000" w:themeColor="text1"/>
          <w:sz w:val="28"/>
          <w:szCs w:val="28"/>
          <w:lang w:val="zh-CN" w:eastAsia="zh-CN"/>
          <w14:textFill>
            <w14:solidFill>
              <w14:schemeClr w14:val="tx1"/>
            </w14:solidFill>
          </w14:textFill>
        </w:rPr>
        <w:t>随着经济发展、生活质量改善、消费观念转变和消费升级，人民群众食品安全观念的不断加强，营养、绿色、健康、优质的优质农产品受到广大消费者的青睐，食品消费已经从纯粹追求实惠向追求高品质转变。青稞营养物质含量丰富，是目前世界上含β-葡聚糖最高的麦类作物，具有广阔的开发利用价值。</w:t>
      </w:r>
      <w:r>
        <w:rPr>
          <w:rFonts w:hint="eastAsia" w:cs="仿宋"/>
          <w:color w:val="000000" w:themeColor="text1"/>
          <w:sz w:val="28"/>
          <w:szCs w:val="28"/>
          <w:lang w:val="en-US" w:eastAsia="zh-CN"/>
          <w14:textFill>
            <w14:solidFill>
              <w14:schemeClr w14:val="tx1"/>
            </w14:solidFill>
          </w14:textFill>
        </w:rPr>
        <w:t>项目建设</w:t>
      </w:r>
      <w:r>
        <w:rPr>
          <w:rFonts w:hint="eastAsia" w:ascii="仿宋" w:hAnsi="仿宋" w:eastAsia="仿宋" w:cs="仿宋"/>
          <w:color w:val="000000" w:themeColor="text1"/>
          <w:sz w:val="28"/>
          <w:szCs w:val="28"/>
          <w:lang w:val="zh-CN" w:eastAsia="zh-CN"/>
          <w14:textFill>
            <w14:solidFill>
              <w14:schemeClr w14:val="tx1"/>
            </w14:solidFill>
          </w14:textFill>
        </w:rPr>
        <w:t>从供给侧和需求侧两端发力，不断丰富产品品种，更好的满足人民群众消费升级需要，扩大优质农产品中高端供给能力，满足人民群众消费升级。随着人们对青稞营养价值认识的进一步提高以及青稞产品市场影响力的不断加强，项目产品将面临更加广阔的市场前景。</w:t>
      </w:r>
    </w:p>
    <w:p>
      <w:pPr>
        <w:pStyle w:val="39"/>
        <w:ind w:firstLine="420" w:firstLineChars="200"/>
        <w:rPr>
          <w:color w:val="000000" w:themeColor="text1"/>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综上所述，本项目的建设是十分必要的。</w:t>
      </w:r>
    </w:p>
    <w:bookmarkEnd w:id="26"/>
    <w:p>
      <w:pPr>
        <w:pStyle w:val="2"/>
        <w:numPr>
          <w:ilvl w:val="0"/>
          <w:numId w:val="1"/>
        </w:numPr>
        <w:bidi w:val="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bookmarkStart w:id="31" w:name="_Toc16533"/>
      <w:r>
        <w:rPr>
          <w:rFonts w:hint="eastAsia"/>
          <w:color w:val="000000" w:themeColor="text1"/>
          <w:highlight w:val="none"/>
          <w14:textFill>
            <w14:solidFill>
              <w14:schemeClr w14:val="tx1"/>
            </w14:solidFill>
          </w14:textFill>
        </w:rPr>
        <w:t>市场分析</w:t>
      </w:r>
      <w:bookmarkEnd w:id="31"/>
    </w:p>
    <w:p>
      <w:pPr>
        <w:pStyle w:val="3"/>
        <w:bidi w:val="0"/>
        <w:rPr>
          <w:color w:val="000000" w:themeColor="text1"/>
          <w:lang w:val="zh-CN"/>
          <w14:textFill>
            <w14:solidFill>
              <w14:schemeClr w14:val="tx1"/>
            </w14:solidFill>
          </w14:textFill>
        </w:rPr>
      </w:pPr>
      <w:bookmarkStart w:id="32" w:name="_Toc21971"/>
      <w:bookmarkStart w:id="33" w:name="_Toc21851"/>
      <w:r>
        <w:rPr>
          <w:rFonts w:hint="eastAsia"/>
          <w:color w:val="000000" w:themeColor="text1"/>
          <w:lang w:val="en-US" w:eastAsia="zh-CN"/>
          <w14:textFill>
            <w14:solidFill>
              <w14:schemeClr w14:val="tx1"/>
            </w14:solidFill>
          </w14:textFill>
        </w:rPr>
        <w:t>3.1国内</w:t>
      </w:r>
      <w:r>
        <w:rPr>
          <w:color w:val="000000" w:themeColor="text1"/>
          <w:lang w:val="zh-CN"/>
          <w14:textFill>
            <w14:solidFill>
              <w14:schemeClr w14:val="tx1"/>
            </w14:solidFill>
          </w14:textFill>
        </w:rPr>
        <w:t>青稞产品现状</w:t>
      </w:r>
      <w:bookmarkEnd w:id="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近年来，随着居民生活水平的进一步提高，人们更加追求多元化、更具营养、更加健康的饮食，青稞作为保健品、酿酒等产品的重要原料，其用途也更加广泛。生活质量和水平的提高，更加追求多元化、营养价值高的饮食，青稞具备营养价值和药用价值，被牧民广泛应用于酿酒、药材制作当中。从产品现状看，国内青稞的40.61%做为主粮及食品加工、22.6%作为糍粑、20.24%酿酒，其他为16.55%。</w:t>
      </w:r>
    </w:p>
    <w:p>
      <w:pPr>
        <w:rPr>
          <w:color w:val="000000" w:themeColor="text1"/>
          <w14:textFill>
            <w14:solidFill>
              <w14:schemeClr w14:val="tx1"/>
            </w14:solidFill>
          </w14:textFill>
        </w:rPr>
      </w:pPr>
      <w:r>
        <w:rPr>
          <w:rFonts w:eastAsia="仿宋"/>
          <w:color w:val="000000" w:themeColor="text1"/>
          <w:sz w:val="28"/>
          <w:szCs w:val="28"/>
          <w14:textFill>
            <w14:solidFill>
              <w14:schemeClr w14:val="tx1"/>
            </w14:solidFill>
          </w14:textFill>
        </w:rPr>
        <w:drawing>
          <wp:inline distT="0" distB="0" distL="0" distR="0">
            <wp:extent cx="4789805" cy="2106295"/>
            <wp:effectExtent l="9525" t="9525" r="16510"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0" cstate="print"/>
                    <a:srcRect t="23459"/>
                    <a:stretch>
                      <a:fillRect/>
                    </a:stretch>
                  </pic:blipFill>
                  <pic:spPr>
                    <a:xfrm>
                      <a:off x="0" y="0"/>
                      <a:ext cx="4804682" cy="2106295"/>
                    </a:xfrm>
                    <a:prstGeom prst="rect">
                      <a:avLst/>
                    </a:prstGeom>
                    <a:noFill/>
                    <a:ln w="9525">
                      <a:solidFill>
                        <a:schemeClr val="tx1"/>
                      </a:solidFill>
                      <a:miter lim="800000"/>
                      <a:headEnd/>
                      <a:tailEnd/>
                    </a:ln>
                  </pic:spPr>
                </pic:pic>
              </a:graphicData>
            </a:graphic>
          </wp:inline>
        </w:drawing>
      </w:r>
    </w:p>
    <w:p>
      <w:pPr>
        <w:ind w:left="0" w:leftChars="0" w:firstLine="0" w:firstLineChars="0"/>
        <w:jc w:val="center"/>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图3-</w:t>
      </w:r>
      <w:r>
        <w:rPr>
          <w:rFonts w:hint="eastAsia"/>
          <w:b/>
          <w:bCs/>
          <w:color w:val="000000" w:themeColor="text1"/>
          <w:sz w:val="24"/>
          <w:lang w:val="en-US" w:eastAsia="zh-CN"/>
          <w14:textFill>
            <w14:solidFill>
              <w14:schemeClr w14:val="tx1"/>
            </w14:solidFill>
          </w14:textFill>
        </w:rPr>
        <w:t>1</w:t>
      </w:r>
      <w:r>
        <w:rPr>
          <w:rFonts w:eastAsia="仿宋"/>
          <w:b/>
          <w:bCs/>
          <w:color w:val="000000" w:themeColor="text1"/>
          <w:sz w:val="24"/>
          <w14:textFill>
            <w14:solidFill>
              <w14:schemeClr w14:val="tx1"/>
            </w14:solidFill>
          </w14:textFill>
        </w:rPr>
        <w:t xml:space="preserve"> 20</w:t>
      </w:r>
      <w:r>
        <w:rPr>
          <w:rFonts w:hint="eastAsia"/>
          <w:b/>
          <w:bCs/>
          <w:color w:val="000000" w:themeColor="text1"/>
          <w:sz w:val="24"/>
          <w:lang w:val="en-US" w:eastAsia="zh-CN"/>
          <w14:textFill>
            <w14:solidFill>
              <w14:schemeClr w14:val="tx1"/>
            </w14:solidFill>
          </w14:textFill>
        </w:rPr>
        <w:t>20</w:t>
      </w:r>
      <w:r>
        <w:rPr>
          <w:rFonts w:eastAsia="仿宋"/>
          <w:b/>
          <w:bCs/>
          <w:color w:val="000000" w:themeColor="text1"/>
          <w:sz w:val="24"/>
          <w14:textFill>
            <w14:solidFill>
              <w14:schemeClr w14:val="tx1"/>
            </w14:solidFill>
          </w14:textFill>
        </w:rPr>
        <w:t>年国内青稞市场产品结构</w:t>
      </w:r>
    </w:p>
    <w:p>
      <w:pPr>
        <w:pStyle w:val="3"/>
        <w:bidi w:val="0"/>
        <w:rPr>
          <w:rFonts w:hint="eastAsia"/>
          <w:color w:val="000000" w:themeColor="text1"/>
          <w:lang w:val="zh-CN"/>
          <w14:textFill>
            <w14:solidFill>
              <w14:schemeClr w14:val="tx1"/>
            </w14:solidFill>
          </w14:textFill>
        </w:rPr>
      </w:pPr>
      <w:bookmarkStart w:id="34" w:name="_Toc22505"/>
      <w:r>
        <w:rPr>
          <w:color w:val="000000" w:themeColor="text1"/>
          <w14:textFill>
            <w14:solidFill>
              <w14:schemeClr w14:val="tx1"/>
            </w14:solidFill>
          </w14:textFill>
        </w:rPr>
        <w:t>3.</w:t>
      </w:r>
      <w:bookmarkEnd w:id="33"/>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青海省青稞产业发展现状分析</w:t>
      </w:r>
      <w:bookmarkEnd w:id="34"/>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000000" w:themeColor="text1"/>
          <w:sz w:val="28"/>
          <w:szCs w:val="28"/>
          <w:lang w:val="zh-CN"/>
          <w14:textFill>
            <w14:solidFill>
              <w14:schemeClr w14:val="tx1"/>
            </w14:solidFill>
          </w14:textFill>
        </w:rPr>
      </w:pPr>
      <w:bookmarkStart w:id="35" w:name="_Toc1892"/>
      <w:bookmarkStart w:id="36" w:name="_Toc485649814"/>
      <w:bookmarkStart w:id="37" w:name="_Toc8536"/>
      <w:r>
        <w:rPr>
          <w:rFonts w:hint="eastAsia" w:cs="仿宋"/>
          <w:b/>
          <w:bCs/>
          <w:color w:val="000000" w:themeColor="text1"/>
          <w:sz w:val="28"/>
          <w:szCs w:val="28"/>
          <w:lang w:val="en-US" w:eastAsia="zh-CN"/>
          <w14:textFill>
            <w14:solidFill>
              <w14:schemeClr w14:val="tx1"/>
            </w14:solidFill>
          </w14:textFill>
        </w:rPr>
        <w:t>（1）</w:t>
      </w:r>
      <w:r>
        <w:rPr>
          <w:rFonts w:hint="eastAsia" w:ascii="仿宋" w:hAnsi="仿宋" w:eastAsia="仿宋" w:cs="仿宋"/>
          <w:b/>
          <w:bCs/>
          <w:color w:val="000000" w:themeColor="text1"/>
          <w:sz w:val="28"/>
          <w:szCs w:val="28"/>
          <w:lang w:val="zh-CN"/>
          <w14:textFill>
            <w14:solidFill>
              <w14:schemeClr w14:val="tx1"/>
            </w14:solidFill>
          </w14:textFill>
        </w:rPr>
        <w:t>青稞种植现状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青稞是青海农牧业的主导产业，种植青稞有着悠久的历史。青海省的青稞主要分布在海西州、海北州、海南州、黄南州和玉树州。目前，青海青稞种植面积达到100万亩，占粮食作物的四分之一，产量16万吨，约占四省藏区青稞总产量的20%以上。</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bCs/>
          <w:color w:val="000000" w:themeColor="text1"/>
          <w:sz w:val="28"/>
          <w:szCs w:val="28"/>
          <w:lang w:val="zh-CN" w:eastAsia="zh-CN"/>
          <w14:textFill>
            <w14:solidFill>
              <w14:schemeClr w14:val="tx1"/>
            </w14:solidFill>
          </w14:textFill>
        </w:rPr>
      </w:pPr>
      <w:r>
        <w:rPr>
          <w:rFonts w:hint="eastAsia" w:cs="仿宋"/>
          <w:b/>
          <w:bCs/>
          <w:color w:val="000000" w:themeColor="text1"/>
          <w:sz w:val="28"/>
          <w:szCs w:val="28"/>
          <w:lang w:val="en-US" w:eastAsia="zh-CN"/>
          <w14:textFill>
            <w14:solidFill>
              <w14:schemeClr w14:val="tx1"/>
            </w14:solidFill>
          </w14:textFill>
        </w:rPr>
        <w:t>（2）</w:t>
      </w:r>
      <w:r>
        <w:rPr>
          <w:rFonts w:hint="eastAsia" w:ascii="仿宋" w:hAnsi="仿宋" w:eastAsia="仿宋" w:cs="仿宋"/>
          <w:b/>
          <w:bCs/>
          <w:color w:val="000000" w:themeColor="text1"/>
          <w:sz w:val="28"/>
          <w:szCs w:val="28"/>
          <w:lang w:val="zh-CN" w:eastAsia="zh-CN"/>
          <w14:textFill>
            <w14:solidFill>
              <w14:schemeClr w14:val="tx1"/>
            </w14:solidFill>
          </w14:textFill>
        </w:rPr>
        <w:t>青稞加工业发展现状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截止2020年，</w:t>
      </w:r>
      <w:r>
        <w:rPr>
          <w:rFonts w:hint="eastAsia" w:cs="仿宋"/>
          <w:color w:val="000000" w:themeColor="text1"/>
          <w:sz w:val="28"/>
          <w:szCs w:val="28"/>
          <w:lang w:val="zh-CN"/>
          <w14:textFill>
            <w14:solidFill>
              <w14:schemeClr w14:val="tx1"/>
            </w14:solidFill>
          </w14:textFill>
        </w:rPr>
        <w:t>青海省</w:t>
      </w:r>
      <w:r>
        <w:rPr>
          <w:rFonts w:hint="eastAsia" w:ascii="仿宋" w:hAnsi="仿宋" w:eastAsia="仿宋" w:cs="仿宋"/>
          <w:color w:val="000000" w:themeColor="text1"/>
          <w:sz w:val="28"/>
          <w:szCs w:val="28"/>
          <w:lang w:val="zh-CN"/>
          <w14:textFill>
            <w14:solidFill>
              <w14:schemeClr w14:val="tx1"/>
            </w14:solidFill>
          </w14:textFill>
        </w:rPr>
        <w:t>青稞加工量已占青稞总产量的三分之一，青稞商品化率达到83%以上，加工转化率达到 70% ，是全国青稞加工转化率最高的省份。目前全省从事青稞生产加工企业有33家，其中规模以上青稞加工企业共19家，开发和加工的青稞产品约7类20多种，年消化青稞原粮约9.5万吨，青稞加工率达到60%，青稞商品化率高达83%。青青稞酒为最大青稞酒生产企业，2019年营业收入达到12.54亿元。除青稞酒产品以外，</w:t>
      </w:r>
      <w:r>
        <w:rPr>
          <w:rFonts w:hint="eastAsia" w:cs="仿宋"/>
          <w:color w:val="000000" w:themeColor="text1"/>
          <w:sz w:val="28"/>
          <w:szCs w:val="28"/>
          <w:lang w:val="zh-CN"/>
          <w14:textFill>
            <w14:solidFill>
              <w14:schemeClr w14:val="tx1"/>
            </w14:solidFill>
          </w14:textFill>
        </w:rPr>
        <w:t>青海省</w:t>
      </w:r>
      <w:r>
        <w:rPr>
          <w:rFonts w:hint="eastAsia" w:ascii="仿宋" w:hAnsi="仿宋" w:eastAsia="仿宋" w:cs="仿宋"/>
          <w:color w:val="000000" w:themeColor="text1"/>
          <w:sz w:val="28"/>
          <w:szCs w:val="28"/>
          <w:lang w:val="zh-CN"/>
          <w14:textFill>
            <w14:solidFill>
              <w14:schemeClr w14:val="tx1"/>
            </w14:solidFill>
          </w14:textFill>
        </w:rPr>
        <w:t>青稞加工产品主要为青稞米、青稞挂面、青稞酸奶、青稞饼干、青稞速食面等系列大众化食品、方便食品和休闲食品。目前，</w:t>
      </w:r>
      <w:r>
        <w:rPr>
          <w:rFonts w:hint="eastAsia" w:cs="仿宋"/>
          <w:color w:val="000000" w:themeColor="text1"/>
          <w:sz w:val="28"/>
          <w:szCs w:val="28"/>
          <w:lang w:val="zh-CN"/>
          <w14:textFill>
            <w14:solidFill>
              <w14:schemeClr w14:val="tx1"/>
            </w14:solidFill>
          </w14:textFill>
        </w:rPr>
        <w:t>青海省</w:t>
      </w:r>
      <w:r>
        <w:rPr>
          <w:rFonts w:hint="eastAsia" w:ascii="仿宋" w:hAnsi="仿宋" w:eastAsia="仿宋" w:cs="仿宋"/>
          <w:color w:val="000000" w:themeColor="text1"/>
          <w:sz w:val="28"/>
          <w:szCs w:val="28"/>
          <w:lang w:val="zh-CN"/>
          <w14:textFill>
            <w14:solidFill>
              <w14:schemeClr w14:val="tx1"/>
            </w14:solidFill>
          </w14:textFill>
        </w:rPr>
        <w:t>青稞深加工仍处于起步和探索阶段，大多数青稞深加工产品仍以小作坊形式生产，生产设备简陋，工艺简单，生产规模小，商品化程度较低，没有形成品牌优势，市场竞争力弱，青稞产业面临产业附加值低、缺乏全国性领军企业和区域公用品牌潜在风险三个挑战。</w:t>
      </w:r>
    </w:p>
    <w:p>
      <w:pPr>
        <w:pStyle w:val="3"/>
        <w:bidi w:val="0"/>
        <w:rPr>
          <w:color w:val="000000" w:themeColor="text1"/>
          <w14:textFill>
            <w14:solidFill>
              <w14:schemeClr w14:val="tx1"/>
            </w14:solidFill>
          </w14:textFill>
        </w:rPr>
      </w:pPr>
      <w:bookmarkStart w:id="38" w:name="_Toc12838"/>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市场前景分析</w:t>
      </w:r>
      <w:bookmarkEnd w:id="35"/>
      <w:bookmarkEnd w:id="3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color w:val="000000" w:themeColor="text1"/>
          <w:sz w:val="28"/>
          <w:szCs w:val="28"/>
          <w:lang w:val="zh-CN" w:eastAsia="zh-CN"/>
          <w14:textFill>
            <w14:solidFill>
              <w14:schemeClr w14:val="tx1"/>
            </w14:solidFill>
          </w14:textFill>
        </w:rPr>
      </w:pPr>
      <w:r>
        <w:rPr>
          <w:rFonts w:hint="default" w:ascii="仿宋" w:hAnsi="仿宋" w:eastAsia="仿宋" w:cs="仿宋"/>
          <w:color w:val="000000" w:themeColor="text1"/>
          <w:sz w:val="28"/>
          <w:szCs w:val="28"/>
          <w:lang w:val="zh-CN"/>
          <w14:textFill>
            <w14:solidFill>
              <w14:schemeClr w14:val="tx1"/>
            </w14:solidFill>
          </w14:textFill>
        </w:rPr>
        <w:t>啤酒，是古老的酒精饮料之一，是水和茶之后世界上消耗量排名第三的饮料。</w:t>
      </w:r>
      <w:r>
        <w:rPr>
          <w:rFonts w:hint="eastAsia" w:ascii="仿宋" w:hAnsi="仿宋" w:eastAsia="仿宋" w:cs="仿宋"/>
          <w:color w:val="000000" w:themeColor="text1"/>
          <w:sz w:val="28"/>
          <w:szCs w:val="28"/>
          <w:lang w:val="zh-CN" w:eastAsia="zh-CN"/>
          <w14:textFill>
            <w14:solidFill>
              <w14:schemeClr w14:val="tx1"/>
            </w14:solidFill>
          </w14:textFill>
        </w:rPr>
        <w:t>青稞含有β-葡聚糖等丰富的营养物质以及锂、硒、铬、黄酮类等矿物质，它们对人体有不同程度的营养和保健作用。研究发现，青稞啤酒中β-葡聚糖含量也远远高于普通的麦芽啤酒，黄酮含量略高于普通的麦芽啤酒。β-葡聚糖具有降低人体胆固醇，防止</w:t>
      </w:r>
      <w:r>
        <w:rPr>
          <w:rFonts w:hint="default" w:ascii="仿宋" w:hAnsi="仿宋" w:eastAsia="仿宋" w:cs="仿宋"/>
          <w:color w:val="000000" w:themeColor="text1"/>
          <w:sz w:val="28"/>
          <w:szCs w:val="28"/>
          <w:lang w:val="zh-CN" w:eastAsia="zh-CN"/>
          <w14:textFill>
            <w14:solidFill>
              <w14:schemeClr w14:val="tx1"/>
            </w14:solidFill>
          </w14:textFill>
        </w:rPr>
        <w:fldChar w:fldCharType="begin"/>
      </w:r>
      <w:r>
        <w:rPr>
          <w:rFonts w:hint="default" w:ascii="仿宋" w:hAnsi="仿宋" w:eastAsia="仿宋" w:cs="仿宋"/>
          <w:color w:val="000000" w:themeColor="text1"/>
          <w:sz w:val="28"/>
          <w:szCs w:val="28"/>
          <w:lang w:val="zh-CN" w:eastAsia="zh-CN"/>
          <w14:textFill>
            <w14:solidFill>
              <w14:schemeClr w14:val="tx1"/>
            </w14:solidFill>
          </w14:textFill>
        </w:rPr>
        <w:instrText xml:space="preserve"> HYPERLINK "https://baike.baidu.com/item/%E5%BF%83%E8%A1%80%E7%AE%A1%E7%97%85/11006672" \t "https://baike.baidu.com/item/%E8%A5%BF%E8%97%8F%E9%9D%92%E7%A8%9E%E5%95%A4%E9%85%92/_blank" </w:instrText>
      </w:r>
      <w:r>
        <w:rPr>
          <w:rFonts w:hint="default" w:ascii="仿宋" w:hAnsi="仿宋" w:eastAsia="仿宋" w:cs="仿宋"/>
          <w:color w:val="000000" w:themeColor="text1"/>
          <w:sz w:val="28"/>
          <w:szCs w:val="28"/>
          <w:lang w:val="zh-CN" w:eastAsia="zh-CN"/>
          <w14:textFill>
            <w14:solidFill>
              <w14:schemeClr w14:val="tx1"/>
            </w14:solidFill>
          </w14:textFill>
        </w:rPr>
        <w:fldChar w:fldCharType="separate"/>
      </w:r>
      <w:r>
        <w:rPr>
          <w:rFonts w:hint="default" w:ascii="仿宋" w:hAnsi="仿宋" w:eastAsia="仿宋" w:cs="仿宋"/>
          <w:color w:val="000000" w:themeColor="text1"/>
          <w:sz w:val="28"/>
          <w:szCs w:val="28"/>
          <w:lang w:val="zh-CN" w:eastAsia="zh-CN"/>
          <w14:textFill>
            <w14:solidFill>
              <w14:schemeClr w14:val="tx1"/>
            </w14:solidFill>
          </w14:textFill>
        </w:rPr>
        <w:t>心血管病</w:t>
      </w:r>
      <w:r>
        <w:rPr>
          <w:rFonts w:hint="default" w:ascii="仿宋" w:hAnsi="仿宋" w:eastAsia="仿宋" w:cs="仿宋"/>
          <w:color w:val="000000" w:themeColor="text1"/>
          <w:sz w:val="28"/>
          <w:szCs w:val="28"/>
          <w:lang w:val="zh-CN" w:eastAsia="zh-CN"/>
          <w14:textFill>
            <w14:solidFill>
              <w14:schemeClr w14:val="tx1"/>
            </w14:solidFill>
          </w14:textFill>
        </w:rPr>
        <w:fldChar w:fldCharType="end"/>
      </w:r>
      <w:r>
        <w:rPr>
          <w:rFonts w:hint="default" w:ascii="仿宋" w:hAnsi="仿宋" w:eastAsia="仿宋" w:cs="仿宋"/>
          <w:color w:val="000000" w:themeColor="text1"/>
          <w:sz w:val="28"/>
          <w:szCs w:val="28"/>
          <w:lang w:val="zh-CN" w:eastAsia="zh-CN"/>
          <w14:textFill>
            <w14:solidFill>
              <w14:schemeClr w14:val="tx1"/>
            </w14:solidFill>
          </w14:textFill>
        </w:rPr>
        <w:t>方面有积极的作用，还可以降低人体肿瘤LDL-C的水平，有抗肿瘤等独特的保健作用。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r>
        <w:rPr>
          <w:rFonts w:hint="eastAsia" w:ascii="仿宋" w:hAnsi="仿宋" w:eastAsia="仿宋" w:cs="仿宋"/>
          <w:color w:val="000000" w:themeColor="text1"/>
          <w:sz w:val="28"/>
          <w:szCs w:val="28"/>
          <w:lang w:val="zh-CN"/>
          <w14:textFill>
            <w14:solidFill>
              <w14:schemeClr w14:val="tx1"/>
            </w14:solidFill>
          </w14:textFill>
        </w:rPr>
        <w:t>目前</w:t>
      </w:r>
      <w:r>
        <w:rPr>
          <w:rFonts w:hint="eastAsia" w:cs="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青稞啤酒</w:t>
      </w:r>
      <w:r>
        <w:rPr>
          <w:rFonts w:hint="eastAsia" w:ascii="仿宋" w:hAnsi="仿宋" w:eastAsia="仿宋" w:cs="仿宋"/>
          <w:color w:val="000000" w:themeColor="text1"/>
          <w:sz w:val="28"/>
          <w:szCs w:val="28"/>
          <w:lang w:val="en-US" w:eastAsia="zh-CN"/>
          <w14:textFill>
            <w14:solidFill>
              <w14:schemeClr w14:val="tx1"/>
            </w14:solidFill>
          </w14:textFill>
        </w:rPr>
        <w:t>绿色健康的文化理念和清爽独特的口感已得到了市场广大消费者的认可和青睐</w:t>
      </w:r>
      <w:r>
        <w:rPr>
          <w:rFonts w:hint="eastAsia"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在国内高端啤酒市场形成了一定的品牌知名度</w:t>
      </w:r>
      <w:r>
        <w:rPr>
          <w:rFonts w:hint="eastAsia" w:cs="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zh-CN"/>
          <w14:textFill>
            <w14:solidFill>
              <w14:schemeClr w14:val="tx1"/>
            </w14:solidFill>
          </w14:textFill>
        </w:rPr>
        <w:t>青稞啤酒独特的口味正被更多的消费者所接受。</w:t>
      </w:r>
      <w:r>
        <w:rPr>
          <w:rFonts w:hint="eastAsia" w:cs="仿宋"/>
          <w:color w:val="000000" w:themeColor="text1"/>
          <w:sz w:val="28"/>
          <w:szCs w:val="28"/>
          <w:lang w:val="en-US" w:eastAsia="zh-CN"/>
          <w14:textFill>
            <w14:solidFill>
              <w14:schemeClr w14:val="tx1"/>
            </w14:solidFill>
          </w14:textFill>
        </w:rPr>
        <w:t>项目产品黑青稞啤酒</w:t>
      </w:r>
      <w:r>
        <w:rPr>
          <w:rFonts w:hint="eastAsia" w:ascii="仿宋" w:hAnsi="仿宋" w:eastAsia="仿宋" w:cs="仿宋"/>
          <w:color w:val="000000" w:themeColor="text1"/>
          <w:sz w:val="28"/>
          <w:szCs w:val="28"/>
          <w:lang w:val="en-US" w:eastAsia="zh-CN"/>
          <w14:textFill>
            <w14:solidFill>
              <w14:schemeClr w14:val="tx1"/>
            </w14:solidFill>
          </w14:textFill>
        </w:rPr>
        <w:t>清亮透明，香气独特，口味醇爽、柔和，泡沫细腻、丰富，保持了青稞特有的风味，是天然纯净、绿色的健康饮品。</w:t>
      </w:r>
      <w:r>
        <w:rPr>
          <w:rFonts w:hint="eastAsia" w:ascii="仿宋" w:hAnsi="仿宋" w:eastAsia="仿宋" w:cs="仿宋"/>
          <w:color w:val="000000" w:themeColor="text1"/>
          <w:sz w:val="28"/>
          <w:szCs w:val="28"/>
          <w:lang w:val="zh-CN"/>
          <w14:textFill>
            <w14:solidFill>
              <w14:schemeClr w14:val="tx1"/>
            </w14:solidFill>
          </w14:textFill>
        </w:rPr>
        <w:t>青稞啤酒凭借纯正的口感，独特的青稞麦芽香味，以及降血脂、调节血糖、有益肠道、提高免疫力等保健功效，</w:t>
      </w:r>
      <w:r>
        <w:rPr>
          <w:rFonts w:hint="eastAsia" w:cs="仿宋"/>
          <w:color w:val="000000" w:themeColor="text1"/>
          <w:sz w:val="28"/>
          <w:szCs w:val="28"/>
          <w:lang w:val="en-US" w:eastAsia="zh-CN"/>
          <w14:textFill>
            <w14:solidFill>
              <w14:schemeClr w14:val="tx1"/>
            </w14:solidFill>
          </w14:textFill>
        </w:rPr>
        <w:t>必将</w:t>
      </w:r>
      <w:r>
        <w:rPr>
          <w:rFonts w:hint="eastAsia" w:ascii="仿宋" w:hAnsi="仿宋" w:eastAsia="仿宋" w:cs="仿宋"/>
          <w:color w:val="000000" w:themeColor="text1"/>
          <w:sz w:val="28"/>
          <w:szCs w:val="28"/>
          <w:lang w:val="zh-CN"/>
          <w14:textFill>
            <w14:solidFill>
              <w14:schemeClr w14:val="tx1"/>
            </w14:solidFill>
          </w14:textFill>
        </w:rPr>
        <w:t>受到</w:t>
      </w:r>
      <w:r>
        <w:rPr>
          <w:rFonts w:hint="eastAsia" w:cs="仿宋"/>
          <w:color w:val="000000" w:themeColor="text1"/>
          <w:sz w:val="28"/>
          <w:szCs w:val="28"/>
          <w:lang w:val="en-US" w:eastAsia="zh-CN"/>
          <w14:textFill>
            <w14:solidFill>
              <w14:schemeClr w14:val="tx1"/>
            </w14:solidFill>
          </w14:textFill>
        </w:rPr>
        <w:t>市场的青睐，市场前景广阔</w:t>
      </w:r>
      <w:r>
        <w:rPr>
          <w:rFonts w:hint="eastAsia" w:cs="仿宋"/>
          <w:color w:val="000000" w:themeColor="text1"/>
          <w:sz w:val="28"/>
          <w:szCs w:val="28"/>
          <w:lang w:val="zh-CN"/>
          <w14:textFill>
            <w14:solidFill>
              <w14:schemeClr w14:val="tx1"/>
            </w14:solidFill>
          </w14:textFill>
        </w:rPr>
        <w:t>。</w:t>
      </w:r>
    </w:p>
    <w:p>
      <w:pPr>
        <w:pStyle w:val="3"/>
        <w:bidi w:val="0"/>
        <w:rPr>
          <w:color w:val="000000" w:themeColor="text1"/>
          <w14:textFill>
            <w14:solidFill>
              <w14:schemeClr w14:val="tx1"/>
            </w14:solidFill>
          </w14:textFill>
        </w:rPr>
      </w:pPr>
      <w:bookmarkStart w:id="39" w:name="_Toc20517"/>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产品目标市场定位</w:t>
      </w:r>
      <w:bookmarkEnd w:id="36"/>
      <w:bookmarkEnd w:id="37"/>
      <w:bookmarkEnd w:id="39"/>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w:t>
      </w:r>
      <w:r>
        <w:rPr>
          <w:rFonts w:hint="eastAsia"/>
          <w:color w:val="000000" w:themeColor="text1"/>
          <w:lang w:val="en-US" w:eastAsia="zh-CN"/>
          <w14:textFill>
            <w14:solidFill>
              <w14:schemeClr w14:val="tx1"/>
            </w14:solidFill>
          </w14:textFill>
        </w:rPr>
        <w:t>4</w:t>
      </w:r>
      <w:r>
        <w:rPr>
          <w:rFonts w:hint="eastAsia"/>
          <w:color w:val="000000" w:themeColor="text1"/>
          <w:lang w:val="zh-CN"/>
          <w14:textFill>
            <w14:solidFill>
              <w14:schemeClr w14:val="tx1"/>
            </w14:solidFill>
          </w14:textFill>
        </w:rPr>
        <w:t>.1产品定位</w:t>
      </w:r>
    </w:p>
    <w:p>
      <w:pPr>
        <w:spacing w:line="360" w:lineRule="auto"/>
        <w:ind w:firstLine="562" w:firstLineChars="200"/>
        <w:rPr>
          <w:rFonts w:eastAsia="仿宋"/>
          <w:b/>
          <w:bCs/>
          <w:color w:val="000000" w:themeColor="text1"/>
          <w:sz w:val="28"/>
          <w:szCs w:val="28"/>
          <w:lang w:val="zh-CN"/>
          <w14:textFill>
            <w14:solidFill>
              <w14:schemeClr w14:val="tx1"/>
            </w14:solidFill>
          </w14:textFill>
        </w:rPr>
      </w:pPr>
      <w:r>
        <w:rPr>
          <w:rFonts w:hint="eastAsia"/>
          <w:b/>
          <w:bCs/>
          <w:color w:val="000000" w:themeColor="text1"/>
          <w:sz w:val="28"/>
          <w:szCs w:val="28"/>
          <w:lang w:val="zh-CN"/>
          <w14:textFill>
            <w14:solidFill>
              <w14:schemeClr w14:val="tx1"/>
            </w14:solidFill>
          </w14:textFill>
        </w:rPr>
        <w:t>（</w:t>
      </w:r>
      <w:r>
        <w:rPr>
          <w:rFonts w:hint="eastAsia"/>
          <w:b/>
          <w:bCs/>
          <w:color w:val="000000" w:themeColor="text1"/>
          <w:sz w:val="28"/>
          <w:szCs w:val="28"/>
          <w:lang w:val="en-US" w:eastAsia="zh-CN"/>
          <w14:textFill>
            <w14:solidFill>
              <w14:schemeClr w14:val="tx1"/>
            </w14:solidFill>
          </w14:textFill>
        </w:rPr>
        <w:t>1</w:t>
      </w:r>
      <w:r>
        <w:rPr>
          <w:rFonts w:hint="eastAsia"/>
          <w:b/>
          <w:bCs/>
          <w:color w:val="000000" w:themeColor="text1"/>
          <w:sz w:val="28"/>
          <w:szCs w:val="28"/>
          <w:lang w:val="zh-CN"/>
          <w14:textFill>
            <w14:solidFill>
              <w14:schemeClr w14:val="tx1"/>
            </w14:solidFill>
          </w14:textFill>
        </w:rPr>
        <w:t>）</w:t>
      </w:r>
      <w:r>
        <w:rPr>
          <w:rFonts w:eastAsia="仿宋"/>
          <w:b/>
          <w:bCs/>
          <w:color w:val="000000" w:themeColor="text1"/>
          <w:sz w:val="28"/>
          <w:szCs w:val="28"/>
          <w:lang w:val="zh-CN"/>
          <w14:textFill>
            <w14:solidFill>
              <w14:schemeClr w14:val="tx1"/>
            </w14:solidFill>
          </w14:textFill>
        </w:rPr>
        <w:t>产品定位</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项目产品定位于</w:t>
      </w:r>
      <w:r>
        <w:rPr>
          <w:rFonts w:hint="eastAsia"/>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天然</w:t>
      </w:r>
      <w:r>
        <w:rPr>
          <w:rFonts w:hint="eastAsia" w:cs="仿宋"/>
          <w:color w:val="000000" w:themeColor="text1"/>
          <w:sz w:val="28"/>
          <w:szCs w:val="28"/>
          <w:lang w:val="en-US"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纯净、绿色</w:t>
      </w:r>
      <w:r>
        <w:rPr>
          <w:rFonts w:eastAsia="仿宋"/>
          <w:color w:val="000000" w:themeColor="text1"/>
          <w:sz w:val="28"/>
          <w:szCs w:val="28"/>
          <w:lang w:val="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饮品</w:t>
      </w:r>
      <w:r>
        <w:rPr>
          <w:rFonts w:hint="eastAsia" w:cs="仿宋"/>
          <w:color w:val="000000" w:themeColor="text1"/>
          <w:sz w:val="28"/>
          <w:szCs w:val="28"/>
          <w:lang w:val="en-US" w:eastAsia="zh-CN"/>
          <w14:textFill>
            <w14:solidFill>
              <w14:schemeClr w14:val="tx1"/>
            </w14:solidFill>
          </w14:textFill>
        </w:rPr>
        <w:t>。</w:t>
      </w:r>
    </w:p>
    <w:p>
      <w:pPr>
        <w:spacing w:line="360" w:lineRule="auto"/>
        <w:ind w:firstLine="562" w:firstLineChars="200"/>
        <w:rPr>
          <w:rFonts w:hint="eastAsia" w:eastAsia="仿宋"/>
          <w:b/>
          <w:bCs/>
          <w:color w:val="000000" w:themeColor="text1"/>
          <w:sz w:val="28"/>
          <w:szCs w:val="28"/>
          <w:lang w:val="zh-CN"/>
          <w14:textFill>
            <w14:solidFill>
              <w14:schemeClr w14:val="tx1"/>
            </w14:solidFill>
          </w14:textFill>
        </w:rPr>
      </w:pPr>
      <w:r>
        <w:rPr>
          <w:rFonts w:hint="eastAsia"/>
          <w:b/>
          <w:bCs/>
          <w:color w:val="000000" w:themeColor="text1"/>
          <w:sz w:val="28"/>
          <w:szCs w:val="28"/>
          <w:lang w:val="zh-CN"/>
          <w14:textFill>
            <w14:solidFill>
              <w14:schemeClr w14:val="tx1"/>
            </w14:solidFill>
          </w14:textFill>
        </w:rPr>
        <w:t>（</w:t>
      </w:r>
      <w:r>
        <w:rPr>
          <w:rFonts w:hint="eastAsia"/>
          <w:b/>
          <w:bCs/>
          <w:color w:val="000000" w:themeColor="text1"/>
          <w:sz w:val="28"/>
          <w:szCs w:val="28"/>
          <w:lang w:val="en-US" w:eastAsia="zh-CN"/>
          <w14:textFill>
            <w14:solidFill>
              <w14:schemeClr w14:val="tx1"/>
            </w14:solidFill>
          </w14:textFill>
        </w:rPr>
        <w:t>2</w:t>
      </w:r>
      <w:r>
        <w:rPr>
          <w:rFonts w:hint="eastAsia"/>
          <w:b/>
          <w:bCs/>
          <w:color w:val="000000" w:themeColor="text1"/>
          <w:sz w:val="28"/>
          <w:szCs w:val="28"/>
          <w:lang w:val="zh-CN"/>
          <w14:textFill>
            <w14:solidFill>
              <w14:schemeClr w14:val="tx1"/>
            </w14:solidFill>
          </w14:textFill>
        </w:rPr>
        <w:t>）</w:t>
      </w:r>
      <w:r>
        <w:rPr>
          <w:rFonts w:hint="eastAsia" w:eastAsia="仿宋"/>
          <w:b/>
          <w:bCs/>
          <w:color w:val="000000" w:themeColor="text1"/>
          <w:sz w:val="28"/>
          <w:szCs w:val="28"/>
          <w:lang w:val="zh-CN"/>
          <w14:textFill>
            <w14:solidFill>
              <w14:schemeClr w14:val="tx1"/>
            </w14:solidFill>
          </w14:textFill>
        </w:rPr>
        <w:t>产品目标市场</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项目产品20%销往青海省本地的大</w:t>
      </w:r>
      <w:r>
        <w:rPr>
          <w:rFonts w:hint="eastAsia"/>
          <w:color w:val="000000" w:themeColor="text1"/>
          <w:sz w:val="28"/>
          <w:szCs w:val="28"/>
          <w:lang w:val="zh-CN"/>
          <w14:textFill>
            <w14:solidFill>
              <w14:schemeClr w14:val="tx1"/>
            </w14:solidFill>
          </w14:textFill>
        </w:rPr>
        <w:t>型综合商店、超市</w:t>
      </w:r>
      <w:r>
        <w:rPr>
          <w:rFonts w:eastAsia="仿宋"/>
          <w:color w:val="000000" w:themeColor="text1"/>
          <w:sz w:val="28"/>
          <w:szCs w:val="28"/>
          <w:lang w:val="zh-CN"/>
          <w14:textFill>
            <w14:solidFill>
              <w14:schemeClr w14:val="tx1"/>
            </w14:solidFill>
          </w14:textFill>
        </w:rPr>
        <w:t>、便利店、特产专卖店和旅游景区，80%销往上海、北京、广州</w:t>
      </w:r>
      <w:r>
        <w:rPr>
          <w:rFonts w:hint="eastAsia"/>
          <w:color w:val="000000" w:themeColor="text1"/>
          <w:sz w:val="28"/>
          <w:szCs w:val="28"/>
          <w:lang w:val="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深圳</w:t>
      </w:r>
      <w:r>
        <w:rPr>
          <w:rFonts w:eastAsia="仿宋"/>
          <w:color w:val="000000" w:themeColor="text1"/>
          <w:sz w:val="28"/>
          <w:szCs w:val="28"/>
          <w:lang w:val="zh-CN"/>
          <w14:textFill>
            <w14:solidFill>
              <w14:schemeClr w14:val="tx1"/>
            </w14:solidFill>
          </w14:textFill>
        </w:rPr>
        <w:t>等一线城市以及</w:t>
      </w:r>
      <w:r>
        <w:rPr>
          <w:rFonts w:hint="eastAsia"/>
          <w:color w:val="000000" w:themeColor="text1"/>
          <w:sz w:val="28"/>
          <w:szCs w:val="28"/>
          <w:lang w:val="en-US" w:eastAsia="zh-CN"/>
          <w14:textFill>
            <w14:solidFill>
              <w14:schemeClr w14:val="tx1"/>
            </w14:solidFill>
          </w14:textFill>
        </w:rPr>
        <w:t>成都、重庆、</w:t>
      </w:r>
      <w:r>
        <w:rPr>
          <w:rFonts w:eastAsia="仿宋"/>
          <w:color w:val="000000" w:themeColor="text1"/>
          <w:sz w:val="28"/>
          <w:szCs w:val="28"/>
          <w:lang w:val="zh-CN"/>
          <w14:textFill>
            <w14:solidFill>
              <w14:schemeClr w14:val="tx1"/>
            </w14:solidFill>
          </w14:textFill>
        </w:rPr>
        <w:t>江苏、广东、山东、浙江等地的二线市场。项目初期以拓展市场份额为主，积极建立零售业务并委托大的批发商、通过市场进行分销，与大型超市、特产专卖店等开展连锁经营业务，同时利用各类交易平台、交易会，开展产品推介和网络营销，拓宽销售渠道，抢占市场份额。创新商业模式，引进新营销手段，利用抖音、快手、淘宝、社群营销方式对产品销售。</w:t>
      </w:r>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w:t>
      </w:r>
      <w:r>
        <w:rPr>
          <w:rFonts w:hint="eastAsia"/>
          <w:color w:val="000000" w:themeColor="text1"/>
          <w:lang w:val="en-US" w:eastAsia="zh-CN"/>
          <w14:textFill>
            <w14:solidFill>
              <w14:schemeClr w14:val="tx1"/>
            </w14:solidFill>
          </w14:textFill>
        </w:rPr>
        <w:t>4</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val="zh-CN"/>
          <w14:textFill>
            <w14:solidFill>
              <w14:schemeClr w14:val="tx1"/>
            </w14:solidFill>
          </w14:textFill>
        </w:rPr>
        <w:t>产品竞争策略分析</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青海省从不缺少具有独特竞争力的产品，关键是缺乏自主开发、包装和市场营销能力，要做大做强青稞产业品牌，就必须建立广阔的销售渠道，依托优势、独特的营销理念及适应健康消费新趋势的创新产品，打开销售市场的大门。为保证项目产品在市场具有一定的竞争力，企业竞争的策略主要有：（1）充分利用资源优势；（2）树立鲜明的品牌形象；（3）建立广泛的市场营销网络；（4）严格控制生产成本；（5）加大科研力度。</w:t>
      </w:r>
    </w:p>
    <w:p>
      <w:pPr>
        <w:pStyle w:val="3"/>
        <w:bidi w:val="0"/>
        <w:rPr>
          <w:color w:val="000000" w:themeColor="text1"/>
          <w14:textFill>
            <w14:solidFill>
              <w14:schemeClr w14:val="tx1"/>
            </w14:solidFill>
          </w14:textFill>
        </w:rPr>
      </w:pPr>
      <w:bookmarkStart w:id="40" w:name="_Toc15391"/>
      <w:bookmarkStart w:id="41" w:name="_Toc6925504"/>
      <w:bookmarkStart w:id="42" w:name="_Toc37508560"/>
      <w:bookmarkStart w:id="43" w:name="_Toc509987364"/>
      <w:bookmarkStart w:id="44" w:name="_Toc514837671"/>
      <w:bookmarkStart w:id="45" w:name="_Toc17780"/>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营销策略</w:t>
      </w:r>
      <w:bookmarkEnd w:id="40"/>
      <w:bookmarkEnd w:id="41"/>
      <w:bookmarkEnd w:id="42"/>
      <w:bookmarkEnd w:id="43"/>
      <w:bookmarkEnd w:id="44"/>
      <w:bookmarkEnd w:id="45"/>
    </w:p>
    <w:p>
      <w:pPr>
        <w:pStyle w:val="4"/>
        <w:bidi w:val="0"/>
        <w:rPr>
          <w:color w:val="000000" w:themeColor="text1"/>
          <w:lang w:val="zh-CN"/>
          <w14:textFill>
            <w14:solidFill>
              <w14:schemeClr w14:val="tx1"/>
            </w14:solidFill>
          </w14:textFill>
        </w:rPr>
      </w:pPr>
      <w:bookmarkStart w:id="46" w:name="_Toc164412981"/>
      <w:bookmarkStart w:id="47" w:name="_Toc195977176"/>
      <w:bookmarkStart w:id="48" w:name="_Toc121795761"/>
      <w:bookmarkStart w:id="49" w:name="_Toc245697556"/>
      <w:r>
        <w:rPr>
          <w:rFonts w:hint="eastAsia"/>
          <w:color w:val="000000" w:themeColor="text1"/>
          <w:lang w:val="en-US" w:eastAsia="zh-CN"/>
          <w14:textFill>
            <w14:solidFill>
              <w14:schemeClr w14:val="tx1"/>
            </w14:solidFill>
          </w14:textFill>
        </w:rPr>
        <w:t>3.5.1</w:t>
      </w:r>
      <w:r>
        <w:rPr>
          <w:color w:val="000000" w:themeColor="text1"/>
          <w:lang w:val="zh-CN"/>
          <w14:textFill>
            <w14:solidFill>
              <w14:schemeClr w14:val="tx1"/>
            </w14:solidFill>
          </w14:textFill>
        </w:rPr>
        <w:t>广告宣传与公关</w:t>
      </w:r>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包括人员促销、广告促销和公关宣传，即利用电视、广播、报纸等大众媒体进行宣传，树立品牌和企业形象，走品牌化经营路线；同时与产业管理部门进行协调、沟通，使政府从政策上支持、扶持企业的发展。</w:t>
      </w:r>
    </w:p>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3.5.2</w:t>
      </w:r>
      <w:r>
        <w:rPr>
          <w:rFonts w:hint="eastAsia"/>
          <w:color w:val="000000" w:themeColor="text1"/>
          <w:lang w:val="zh-CN" w:eastAsia="zh-CN"/>
          <w14:textFill>
            <w14:solidFill>
              <w14:schemeClr w14:val="tx1"/>
            </w14:solidFill>
          </w14:textFill>
        </w:rPr>
        <w:t>建立企业网站，面向全国进行宣传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设立独立网页，使该网页随时能让老百姓自行查阅，了解企业的情况及产品的品质和使用效果，便于群众认识和接受。</w:t>
      </w:r>
    </w:p>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3.5.3</w:t>
      </w:r>
      <w:r>
        <w:rPr>
          <w:rFonts w:hint="eastAsia"/>
          <w:color w:val="000000" w:themeColor="text1"/>
          <w:lang w:val="zh-CN" w:eastAsia="zh-CN"/>
          <w14:textFill>
            <w14:solidFill>
              <w14:schemeClr w14:val="tx1"/>
            </w14:solidFill>
          </w14:textFill>
        </w:rPr>
        <w:t>产品包装策略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在产品包装内附带宣传卡片，细化对产品的介绍，让消费者更全面的了解产品信息，提高产品的认知度，提高其产品的购买率。</w:t>
      </w:r>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3.5.4市场开拓</w:t>
      </w:r>
      <w:r>
        <w:rPr>
          <w:rFonts w:hint="eastAsia"/>
          <w:color w:val="000000" w:themeColor="text1"/>
          <w:lang w:val="zh-CN" w:eastAsia="zh-CN"/>
          <w14:textFill>
            <w14:solidFill>
              <w14:schemeClr w14:val="tx1"/>
            </w14:solidFill>
          </w14:textFill>
        </w:rPr>
        <w:t>策略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根据目前市场的现状，结合公司的实际，整合营销资源，深入挖掘产品内涵，提升品牌形象。与经销地代理商建立稳固的合作伙伴关系，避免区域市场、销售渠道等方面的恶性竞争，从而降低营销费用，又能达到目标效应。</w:t>
      </w:r>
    </w:p>
    <w:p>
      <w:pPr>
        <w:pStyle w:val="2"/>
        <w:rPr>
          <w:color w:val="000000" w:themeColor="text1"/>
          <w:highlight w:val="none"/>
          <w14:textFill>
            <w14:solidFill>
              <w14:schemeClr w14:val="tx1"/>
            </w14:solidFill>
          </w14:textFill>
        </w:rPr>
      </w:pPr>
      <w:bookmarkStart w:id="50" w:name="_Toc14163"/>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章  建设条件</w:t>
      </w:r>
      <w:bookmarkEnd w:id="27"/>
      <w:bookmarkEnd w:id="50"/>
    </w:p>
    <w:p>
      <w:pPr>
        <w:pStyle w:val="3"/>
        <w:spacing w:before="192" w:after="216"/>
        <w:rPr>
          <w:color w:val="000000" w:themeColor="text1"/>
          <w:highlight w:val="none"/>
          <w14:textFill>
            <w14:solidFill>
              <w14:schemeClr w14:val="tx1"/>
            </w14:solidFill>
          </w14:textFill>
        </w:rPr>
      </w:pPr>
      <w:bookmarkStart w:id="51" w:name="_Toc13425"/>
      <w:bookmarkStart w:id="52" w:name="_Toc27970"/>
      <w:bookmarkStart w:id="53" w:name="_Toc18409"/>
      <w:bookmarkStart w:id="54" w:name="_Toc405541650"/>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.1建设地点</w:t>
      </w:r>
      <w:bookmarkEnd w:id="51"/>
      <w:bookmarkEnd w:id="52"/>
    </w:p>
    <w:p>
      <w:pPr>
        <w:tabs>
          <w:tab w:val="left" w:pos="7410"/>
        </w:tabs>
        <w:spacing w:line="480" w:lineRule="auto"/>
        <w:rPr>
          <w:rFonts w:hint="eastAsia"/>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本项目建设地点</w:t>
      </w:r>
      <w:r>
        <w:rPr>
          <w:rFonts w:hint="eastAsia" w:cs="宋体"/>
          <w:color w:val="000000" w:themeColor="text1"/>
          <w:highlight w:val="none"/>
          <w:lang w:val="zh-CN"/>
          <w14:textFill>
            <w14:solidFill>
              <w14:schemeClr w14:val="tx1"/>
            </w14:solidFill>
          </w14:textFill>
        </w:rPr>
        <w:t>位于</w:t>
      </w:r>
      <w:r>
        <w:rPr>
          <w:rFonts w:hint="eastAsia"/>
          <w:bCs/>
          <w:color w:val="000000" w:themeColor="text1"/>
          <w:highlight w:val="none"/>
          <w14:textFill>
            <w14:solidFill>
              <w14:schemeClr w14:val="tx1"/>
            </w14:solidFill>
          </w14:textFill>
        </w:rPr>
        <w:t>囊谦县香达镇城东区囊谦县扶贫产业园内</w:t>
      </w:r>
      <w:r>
        <w:rPr>
          <w:rFonts w:hint="eastAsia"/>
          <w:color w:val="000000" w:themeColor="text1"/>
          <w:highlight w:val="none"/>
          <w14:textFill>
            <w14:solidFill>
              <w14:schemeClr w14:val="tx1"/>
            </w14:solidFill>
          </w14:textFill>
        </w:rPr>
        <w:t>东</w:t>
      </w:r>
      <w:r>
        <w:rPr>
          <w:rFonts w:hint="eastAsia"/>
          <w:color w:val="000000" w:themeColor="text1"/>
          <w:highlight w:val="none"/>
          <w:lang w:eastAsia="zh-CN"/>
          <w14:textFill>
            <w14:solidFill>
              <w14:schemeClr w14:val="tx1"/>
            </w14:solidFill>
          </w14:textFill>
        </w:rPr>
        <w:t>北</w:t>
      </w:r>
      <w:r>
        <w:rPr>
          <w:rFonts w:hint="eastAsia"/>
          <w:color w:val="000000" w:themeColor="text1"/>
          <w:highlight w:val="none"/>
          <w14:textFill>
            <w14:solidFill>
              <w14:schemeClr w14:val="tx1"/>
            </w14:solidFill>
          </w14:textFill>
        </w:rPr>
        <w:t>角，场地南临214国道</w:t>
      </w:r>
      <w:r>
        <w:rPr>
          <w:rFonts w:hint="eastAsia"/>
          <w:bCs/>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市政配套设施齐全，交通便利。</w:t>
      </w:r>
    </w:p>
    <w:p>
      <w:pP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3402965</wp:posOffset>
                </wp:positionH>
                <wp:positionV relativeFrom="paragraph">
                  <wp:posOffset>2936875</wp:posOffset>
                </wp:positionV>
                <wp:extent cx="582295" cy="185420"/>
                <wp:effectExtent l="143510" t="0" r="109220" b="0"/>
                <wp:wrapNone/>
                <wp:docPr id="5" name="右箭头 5"/>
                <wp:cNvGraphicFramePr/>
                <a:graphic xmlns:a="http://schemas.openxmlformats.org/drawingml/2006/main">
                  <a:graphicData uri="http://schemas.microsoft.com/office/word/2010/wordprocessingShape">
                    <wps:wsp>
                      <wps:cNvSpPr/>
                      <wps:spPr>
                        <a:xfrm rot="-3120000">
                          <a:off x="0" y="0"/>
                          <a:ext cx="582295" cy="185420"/>
                        </a:xfrm>
                        <a:prstGeom prst="rightArrow">
                          <a:avLst>
                            <a:gd name="adj1" fmla="val 50000"/>
                            <a:gd name="adj2" fmla="val 78510"/>
                          </a:avLst>
                        </a:prstGeom>
                        <a:noFill/>
                        <a:ln w="28575" cap="flat" cmpd="sng">
                          <a:solidFill>
                            <a:srgbClr val="C00000"/>
                          </a:solidFill>
                          <a:prstDash val="solid"/>
                          <a:miter/>
                          <a:headEnd type="none" w="med" len="med"/>
                          <a:tailEnd type="none" w="med" len="med"/>
                        </a:ln>
                      </wps:spPr>
                      <wps:bodyPr upright="1"/>
                    </wps:wsp>
                  </a:graphicData>
                </a:graphic>
              </wp:anchor>
            </w:drawing>
          </mc:Choice>
          <mc:Fallback>
            <w:pict>
              <v:shape id="_x0000_s1026" o:spid="_x0000_s1026" o:spt="13" type="#_x0000_t13" style="position:absolute;left:0pt;margin-left:267.95pt;margin-top:231.25pt;height:14.6pt;width:45.85pt;rotation:-3407872f;z-index:251664384;mso-width-relative:page;mso-height-relative:page;" filled="f" stroked="t" coordsize="21600,21600" o:gfxdata="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Oi5kfaAAAACwEAAA8AAAAAAAAAAQAgAAAAIgAAAGRycy9kb3ducmV2LnhtbFBLAQIUABQA&#10;AAAIAIdO4kD05L2KJwIAAF4EAAAOAAAAAAAAAAEAIAAAACkBAABkcnMvZTJvRG9jLnhtbFBLBQYA&#10;AAAABgAGAFkBAADCBQAAAAA=&#10;" adj="16201,5400">
                <v:fill on="f" focussize="0,0"/>
                <v:stroke weight="2.25pt" color="#C00000" joinstyle="miter"/>
                <v:imagedata o:title=""/>
                <o:lock v:ext="edit" aspectratio="f"/>
              </v:shape>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3211830</wp:posOffset>
                </wp:positionH>
                <wp:positionV relativeFrom="paragraph">
                  <wp:posOffset>2463800</wp:posOffset>
                </wp:positionV>
                <wp:extent cx="1296035" cy="27622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296035" cy="276225"/>
                        </a:xfrm>
                        <a:prstGeom prst="rect">
                          <a:avLst/>
                        </a:prstGeom>
                        <a:noFill/>
                        <a:ln w="15875">
                          <a:noFill/>
                        </a:ln>
                      </wps:spPr>
                      <wps:txbx>
                        <w:txbxContent>
                          <w:p>
                            <w:pPr>
                              <w:spacing w:line="300" w:lineRule="exact"/>
                              <w:ind w:firstLine="0" w:firstLineChars="0"/>
                              <w:rPr>
                                <w:rFonts w:hint="eastAsia" w:ascii="方正大标宋简体" w:hAnsi="方正大标宋简体" w:eastAsia="方正大标宋简体" w:cs="方正大标宋简体"/>
                                <w:b/>
                                <w:bCs/>
                                <w:szCs w:val="24"/>
                              </w:rPr>
                            </w:pPr>
                            <w:r>
                              <w:rPr>
                                <w:rFonts w:hint="eastAsia" w:ascii="方正大标宋简体" w:hAnsi="方正大标宋简体" w:eastAsia="方正大标宋简体" w:cs="方正大标宋简体"/>
                                <w:b/>
                                <w:bCs/>
                                <w:szCs w:val="24"/>
                              </w:rPr>
                              <w:t>项目建设地点</w:t>
                            </w:r>
                          </w:p>
                        </w:txbxContent>
                      </wps:txbx>
                      <wps:bodyPr upright="1"/>
                    </wps:wsp>
                  </a:graphicData>
                </a:graphic>
              </wp:anchor>
            </w:drawing>
          </mc:Choice>
          <mc:Fallback>
            <w:pict>
              <v:shape id="_x0000_s1026" o:spid="_x0000_s1026" o:spt="202" type="#_x0000_t202" style="position:absolute;left:0pt;margin-left:252.9pt;margin-top:194pt;height:21.75pt;width:102.05pt;z-index:251662336;mso-width-relative:page;mso-height-relative:page;" filled="f" stroked="f" coordsize="21600,21600" o:gfxdata="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ITcsd0AAAALAQAADwAAAAAAAAABACAAAAAiAAAAZHJzL2Rvd25yZXYueG1sUEsB&#10;AhQAFAAAAAgAh07iQCLx4ye3AQAAWgMAAA4AAAAAAAAAAQAgAAAALAEAAGRycy9lMm9Eb2MueG1s&#10;UEsFBgAAAAAGAAYAWQEAAFUFAAAAAA==&#10;">
                <v:fill on="f" focussize="0,0"/>
                <v:stroke on="f" weight="1.25pt"/>
                <v:imagedata o:title=""/>
                <o:lock v:ext="edit" aspectratio="f"/>
                <v:textbox>
                  <w:txbxContent>
                    <w:p>
                      <w:pPr>
                        <w:spacing w:line="300" w:lineRule="exact"/>
                        <w:ind w:firstLine="0" w:firstLineChars="0"/>
                        <w:rPr>
                          <w:rFonts w:hint="eastAsia" w:ascii="方正大标宋简体" w:hAnsi="方正大标宋简体" w:eastAsia="方正大标宋简体" w:cs="方正大标宋简体"/>
                          <w:b/>
                          <w:bCs/>
                          <w:szCs w:val="24"/>
                        </w:rPr>
                      </w:pPr>
                      <w:r>
                        <w:rPr>
                          <w:rFonts w:hint="eastAsia" w:ascii="方正大标宋简体" w:hAnsi="方正大标宋简体" w:eastAsia="方正大标宋简体" w:cs="方正大标宋简体"/>
                          <w:b/>
                          <w:bCs/>
                          <w:szCs w:val="24"/>
                        </w:rPr>
                        <w:t>项目建设地点</w:t>
                      </w:r>
                    </w:p>
                  </w:txbxContent>
                </v:textbox>
              </v:shape>
            </w:pict>
          </mc:Fallback>
        </mc:AlternateContent>
      </w:r>
      <w:r>
        <w:rPr>
          <w:color w:val="000000" w:themeColor="text1"/>
          <w:highlight w:val="none"/>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1414780</wp:posOffset>
                </wp:positionH>
                <wp:positionV relativeFrom="paragraph">
                  <wp:posOffset>1859915</wp:posOffset>
                </wp:positionV>
                <wp:extent cx="2646045" cy="1854200"/>
                <wp:effectExtent l="0" t="0" r="0" b="0"/>
                <wp:wrapNone/>
                <wp:docPr id="28" name="组合 28"/>
                <wp:cNvGraphicFramePr/>
                <a:graphic xmlns:a="http://schemas.openxmlformats.org/drawingml/2006/main">
                  <a:graphicData uri="http://schemas.microsoft.com/office/word/2010/wordprocessingGroup">
                    <wpg:wgp>
                      <wpg:cNvGrpSpPr/>
                      <wpg:grpSpPr>
                        <a:xfrm>
                          <a:off x="0" y="0"/>
                          <a:ext cx="2646045" cy="1854200"/>
                          <a:chOff x="3958" y="178815"/>
                          <a:chExt cx="4167" cy="2920"/>
                        </a:xfrm>
                      </wpg:grpSpPr>
                      <wps:wsp>
                        <wps:cNvPr id="6" name="直接连接符 6"/>
                        <wps:cNvCnPr/>
                        <wps:spPr>
                          <a:xfrm flipH="1">
                            <a:off x="0" y="0"/>
                            <a:ext cx="0" cy="0"/>
                          </a:xfrm>
                          <a:prstGeom prst="line">
                            <a:avLst/>
                          </a:prstGeom>
                          <a:ln w="38100" cap="flat" cmpd="sng">
                            <a:solidFill>
                              <a:srgbClr val="C00000"/>
                            </a:solidFill>
                            <a:prstDash val="solid"/>
                            <a:headEnd type="none" w="med" len="med"/>
                            <a:tailEnd type="none" w="med" len="med"/>
                          </a:ln>
                        </wps:spPr>
                        <wps:bodyPr upright="1"/>
                      </wps:wsp>
                      <wps:wsp>
                        <wps:cNvPr id="13" name="直接连接符 13"/>
                        <wps:cNvCnPr/>
                        <wps:spPr>
                          <a:xfrm>
                            <a:off x="0" y="0"/>
                            <a:ext cx="0" cy="0"/>
                          </a:xfrm>
                          <a:prstGeom prst="line">
                            <a:avLst/>
                          </a:prstGeom>
                          <a:ln w="38100" cap="flat" cmpd="sng">
                            <a:solidFill>
                              <a:srgbClr val="C00000"/>
                            </a:solidFill>
                            <a:prstDash val="solid"/>
                            <a:headEnd type="none" w="med" len="med"/>
                            <a:tailEnd type="none" w="med" len="med"/>
                          </a:ln>
                        </wps:spPr>
                        <wps:bodyPr upright="1"/>
                      </wps:wsp>
                      <wps:wsp>
                        <wps:cNvPr id="25" name="直接连接符 25"/>
                        <wps:cNvCnPr/>
                        <wps:spPr>
                          <a:xfrm>
                            <a:off x="0" y="0"/>
                            <a:ext cx="0" cy="0"/>
                          </a:xfrm>
                          <a:prstGeom prst="line">
                            <a:avLst/>
                          </a:prstGeom>
                          <a:ln w="38100" cap="flat" cmpd="sng">
                            <a:solidFill>
                              <a:srgbClr val="C00000"/>
                            </a:solidFill>
                            <a:prstDash val="solid"/>
                            <a:headEnd type="none" w="med" len="med"/>
                            <a:tailEnd type="none" w="med" len="med"/>
                          </a:ln>
                        </wps:spPr>
                        <wps:bodyPr upright="1"/>
                      </wps:wsp>
                      <wps:wsp>
                        <wps:cNvPr id="26" name="直接连接符 26"/>
                        <wps:cNvCnPr/>
                        <wps:spPr>
                          <a:xfrm flipH="1">
                            <a:off x="0" y="0"/>
                            <a:ext cx="0" cy="0"/>
                          </a:xfrm>
                          <a:prstGeom prst="line">
                            <a:avLst/>
                          </a:prstGeom>
                          <a:ln w="38100" cap="flat" cmpd="sng">
                            <a:solidFill>
                              <a:srgbClr val="C00000"/>
                            </a:solidFill>
                            <a:prstDash val="solid"/>
                            <a:headEnd type="none" w="med" len="med"/>
                            <a:tailEnd type="none" w="med" len="med"/>
                          </a:ln>
                        </wps:spPr>
                        <wps:bodyPr upright="1"/>
                      </wps:wsp>
                      <wps:wsp>
                        <wps:cNvPr id="27" name="直接连接符 27"/>
                        <wps:cNvCnPr/>
                        <wps:spPr>
                          <a:xfrm>
                            <a:off x="0" y="0"/>
                            <a:ext cx="0" cy="0"/>
                          </a:xfrm>
                          <a:prstGeom prst="line">
                            <a:avLst/>
                          </a:prstGeom>
                          <a:ln w="38100" cap="flat" cmpd="sng">
                            <a:solidFill>
                              <a:srgbClr val="C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1.4pt;margin-top:146.45pt;height:146pt;width:208.35pt;z-index:251663360;mso-width-relative:page;mso-height-relative:page;" coordorigin="3958,178815" coordsize="4167,2920" o:gfxdata="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bzjiJ3AAAAAsB&#10;AAAPAAAAAAAAAAEAIAAAACIAAABkcnMvZG93bnJldi54bWxQSwECFAAUAAAACACHTuJAc176KsIC&#10;AAA0DQAADgAAAAAAAAABACAAAAArAQAAZHJzL2Uyb0RvYy54bWxQSwUGAAAAAAYABgBZAQAAXwYA&#10;AAAA&#10;">
                <o:lock v:ext="edit" aspectratio="f"/>
                <v:line id="_x0000_s1026" o:spid="_x0000_s1026" o:spt="20" style="position:absolute;left:0;top:0;flip:x;height:0;width:0;" filled="f" stroked="t" coordsize="21600,21600" o:gfxdata="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XOrLgAAADaAAAA&#10;DwAAAAAAAAABACAAAAAiAAAAZHJzL2Rvd25yZXYueG1sUEsBAhQAFAAAAAgAh07iQDMvBZ47AAAA&#10;OQAAABAAAAAAAAAAAQAgAAAABwEAAGRycy9zaGFwZXhtbC54bWxQSwUGAAAAAAYABgBbAQAAsQMA&#10;AAAA&#10;">
                  <v:fill on="f" focussize="0,0"/>
                  <v:stroke weight="3pt" color="#C00000" joinstyle="round"/>
                  <v:imagedata o:title=""/>
                  <o:lock v:ext="edit" aspectratio="f"/>
                </v:line>
                <v:line id="_x0000_s1026" o:spid="_x0000_s1026" o:spt="20" style="position:absolute;left:0;top:0;height:0;width:0;" filled="f" stroked="t" coordsize="21600,21600" o:gfxdata="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flT4LUAAADbAAAADwAA&#10;AAAAAAABACAAAAAiAAAAZHJzL2Rvd25yZXYueG1sUEsBAhQAFAAAAAgAh07iQDMvBZ47AAAAOQAA&#10;ABAAAAAAAAAAAQAgAAAABAEAAGRycy9zaGFwZXhtbC54bWxQSwUGAAAAAAYABgBbAQAArgMAAAAA&#10;">
                  <v:fill on="f" focussize="0,0"/>
                  <v:stroke weight="3pt" color="#C00000" joinstyle="round"/>
                  <v:imagedata o:title=""/>
                  <o:lock v:ext="edit" aspectratio="f"/>
                </v:line>
                <v:line id="_x0000_s1026" o:spid="_x0000_s1026" o:spt="20" style="position:absolute;left:0;top:0;height:0;width:0;" filled="f" stroked="t" coordsize="21600,21600" o:gfxdata="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KSytwAAANsAAAAP&#10;AAAAAAAAAAEAIAAAACIAAABkcnMvZG93bnJldi54bWxQSwECFAAUAAAACACHTuJAMy8FnjsAAAA5&#10;AAAAEAAAAAAAAAABACAAAAAGAQAAZHJzL3NoYXBleG1sLnhtbFBLBQYAAAAABgAGAFsBAACwAwAA&#10;AAA=&#10;">
                  <v:fill on="f" focussize="0,0"/>
                  <v:stroke weight="3pt" color="#C00000" joinstyle="round"/>
                  <v:imagedata o:title=""/>
                  <o:lock v:ext="edit" aspectratio="f"/>
                </v:line>
                <v:line id="_x0000_s1026" o:spid="_x0000_s1026" o:spt="20" style="position:absolute;left:0;top:0;flip:x;height:0;width:0;" filled="f" stroked="t" coordsize="21600,21600" o:gfxdata="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Ki1rsAAADb&#10;AAAADwAAAAAAAAABACAAAAAiAAAAZHJzL2Rvd25yZXYueG1sUEsBAhQAFAAAAAgAh07iQDMvBZ47&#10;AAAAOQAAABAAAAAAAAAAAQAgAAAACgEAAGRycy9zaGFwZXhtbC54bWxQSwUGAAAAAAYABgBbAQAA&#10;tAMAAAAA&#10;">
                  <v:fill on="f" focussize="0,0"/>
                  <v:stroke weight="3pt" color="#C00000" joinstyle="round"/>
                  <v:imagedata o:title=""/>
                  <o:lock v:ext="edit" aspectratio="f"/>
                </v:line>
                <v:line id="_x0000_s1026" o:spid="_x0000_s1026" o:spt="20" style="position:absolute;left:0;top:0;height:0;width:0;" filled="f" stroked="t" coordsize="21600,21600" o:gfxdata="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rp9etwAAANsAAAAP&#10;AAAAAAAAAAEAIAAAACIAAABkcnMvZG93bnJldi54bWxQSwECFAAUAAAACACHTuJAMy8FnjsAAAA5&#10;AAAAEAAAAAAAAAABACAAAAAGAQAAZHJzL3NoYXBleG1sLnhtbFBLBQYAAAAABgAGAFsBAACwAwAA&#10;AAA=&#10;">
                  <v:fill on="f" focussize="0,0"/>
                  <v:stroke weight="3pt" color="#C00000" joinstyle="round"/>
                  <v:imagedata o:title=""/>
                  <o:lock v:ext="edit" aspectratio="f"/>
                </v:line>
              </v:group>
            </w:pict>
          </mc:Fallback>
        </mc:AlternateContent>
      </w:r>
      <w:r>
        <w:rPr>
          <w:color w:val="000000" w:themeColor="text1"/>
          <w:highlight w:val="none"/>
          <w14:textFill>
            <w14:solidFill>
              <w14:schemeClr w14:val="tx1"/>
            </w14:solidFill>
          </w14:textFill>
        </w:rPr>
        <w:drawing>
          <wp:inline distT="0" distB="0" distL="114300" distR="114300">
            <wp:extent cx="5720080" cy="4022090"/>
            <wp:effectExtent l="0" t="0" r="13970" b="165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1"/>
                    <a:stretch>
                      <a:fillRect/>
                    </a:stretch>
                  </pic:blipFill>
                  <pic:spPr>
                    <a:xfrm>
                      <a:off x="0" y="0"/>
                      <a:ext cx="5720080" cy="4022090"/>
                    </a:xfrm>
                    <a:prstGeom prst="rect">
                      <a:avLst/>
                    </a:prstGeom>
                    <a:noFill/>
                    <a:ln>
                      <a:noFill/>
                    </a:ln>
                  </pic:spPr>
                </pic:pic>
              </a:graphicData>
            </a:graphic>
          </wp:inline>
        </w:drawing>
      </w:r>
    </w:p>
    <w:p>
      <w:pPr>
        <w:spacing w:line="240" w:lineRule="auto"/>
        <w:ind w:firstLine="0" w:firstLineChars="0"/>
        <w:jc w:val="center"/>
        <w:rPr>
          <w:rFonts w:ascii="Times New Roman" w:hAnsi="Times New Roman" w:cs="Times New Roman"/>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图</w:t>
      </w:r>
      <w:r>
        <w:rPr>
          <w:rFonts w:hint="eastAsia"/>
          <w:b/>
          <w:bCs/>
          <w:color w:val="000000" w:themeColor="text1"/>
          <w:sz w:val="24"/>
          <w:highlight w:val="none"/>
          <w14:textFill>
            <w14:solidFill>
              <w14:schemeClr w14:val="tx1"/>
            </w14:solidFill>
          </w14:textFill>
        </w:rPr>
        <w:t>4</w:t>
      </w:r>
      <w:r>
        <w:rPr>
          <w:b/>
          <w:bCs/>
          <w:color w:val="000000" w:themeColor="text1"/>
          <w:sz w:val="24"/>
          <w:highlight w:val="none"/>
          <w14:textFill>
            <w14:solidFill>
              <w14:schemeClr w14:val="tx1"/>
            </w14:solidFill>
          </w14:textFill>
        </w:rPr>
        <w:t>-1 项目区域位置图</w:t>
      </w:r>
    </w:p>
    <w:p>
      <w:pPr>
        <w:pStyle w:val="3"/>
        <w:spacing w:before="192" w:after="216"/>
        <w:rPr>
          <w:color w:val="000000" w:themeColor="text1"/>
          <w:highlight w:val="none"/>
          <w14:textFill>
            <w14:solidFill>
              <w14:schemeClr w14:val="tx1"/>
            </w14:solidFill>
          </w14:textFill>
        </w:rPr>
      </w:pPr>
      <w:bookmarkStart w:id="55" w:name="_Toc29657"/>
      <w:bookmarkStart w:id="56" w:name="_Toc2610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.2项目建设条件</w:t>
      </w:r>
      <w:bookmarkEnd w:id="55"/>
      <w:bookmarkEnd w:id="56"/>
    </w:p>
    <w:p>
      <w:pPr>
        <w:spacing w:line="360" w:lineRule="auto"/>
        <w:ind w:firstLine="600" w:firstLineChars="200"/>
        <w:outlineLvl w:val="2"/>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pPr>
      <w:r>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t>4.2.1地理位置</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囊谦县位于青海省最南部，玉树的东南部，与西藏昌都地区接壤。地处东经95°21′58″～97°07′0″，北纬32°32′20″～32°43′46″。全县东西最长157.5km，南北最宽130.50km，总面积12741k</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，囊谦县人民政府驻地香达镇距玉树州政府结古镇165km，距省会西宁市965km，有214国道横穿县城，交通较便利。</w:t>
      </w:r>
    </w:p>
    <w:p>
      <w:pPr>
        <w:spacing w:line="360" w:lineRule="auto"/>
        <w:ind w:firstLine="600" w:firstLineChars="200"/>
        <w:outlineLvl w:val="2"/>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pPr>
      <w:r>
        <w:rPr>
          <w:rFonts w:hint="eastAsia" w:ascii="方正大标宋简体" w:hAnsi="方正大标宋简体" w:eastAsia="方正大标宋简体" w:cs="方正大标宋简体"/>
          <w:color w:val="000000" w:themeColor="text1"/>
          <w:sz w:val="30"/>
          <w:szCs w:val="30"/>
          <w:lang w:val="zh-CN"/>
          <w14:textFill>
            <w14:solidFill>
              <w14:schemeClr w14:val="tx1"/>
            </w14:solidFill>
          </w14:textFill>
        </w:rPr>
        <w:t>4.2.2气象条件</w:t>
      </w:r>
    </w:p>
    <w:p>
      <w:pPr>
        <w:ind w:firstLine="56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囊谦县属于大陆性季风</w:t>
      </w:r>
      <w:r>
        <w:rPr>
          <w:rFonts w:hint="eastAsia"/>
          <w:color w:val="000000" w:themeColor="text1"/>
          <w:highlight w:val="none"/>
          <w:lang w:eastAsia="zh-CN"/>
          <w14:textFill>
            <w14:solidFill>
              <w14:schemeClr w14:val="tx1"/>
            </w14:solidFill>
          </w14:textFill>
        </w:rPr>
        <w:t>气</w:t>
      </w:r>
      <w:r>
        <w:rPr>
          <w:rFonts w:hint="eastAsia"/>
          <w:color w:val="000000" w:themeColor="text1"/>
          <w:highlight w:val="none"/>
          <w14:textFill>
            <w14:solidFill>
              <w14:schemeClr w14:val="tx1"/>
            </w14:solidFill>
          </w14:textFill>
        </w:rPr>
        <w:t>候，日照时间长，辐射强烈，日温差大，降雨量多而集中，四季不分明，只有冷暖两季，干旱少雨。据囊谦县气象站多年统计资料，囊谦多年平均气温5.4℃，年平均最高气温12℃，年平均最低气温-2℃；一年中仅6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7、8月份较暖，以7月气温最高，平均为14.3℃，1月最低，平均为-9℃，历史最高气温29℃，出现在1995年；历史最低气温-26℃，出现在1981年。多年平均降雨量652.7mm，最大年降水量715.43mm，降水在空间分布极不均匀，一般降水集中在6～9月份，占年降水量的85%以上，最大日降水量37.9mm，多年平均蒸发量1859.90mm，相对湿度53%。全年风日数72.8天，冬天西风盛行，年平均风速1.35m/s，年最大风速22.6m/s。</w:t>
      </w:r>
    </w:p>
    <w:p>
      <w:pPr>
        <w:pStyle w:val="3"/>
        <w:spacing w:before="192" w:after="216"/>
        <w:rPr>
          <w:rFonts w:ascii="Times New Roman" w:hAnsi="Times New Roman" w:cs="Times New Roman"/>
          <w:color w:val="000000" w:themeColor="text1"/>
          <w:highlight w:val="none"/>
          <w14:textFill>
            <w14:solidFill>
              <w14:schemeClr w14:val="tx1"/>
            </w14:solidFill>
          </w14:textFill>
        </w:rPr>
      </w:pPr>
      <w:bookmarkStart w:id="57" w:name="_Toc1634"/>
      <w:bookmarkStart w:id="58" w:name="_Toc1347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外部配套条件</w:t>
      </w:r>
      <w:bookmarkEnd w:id="57"/>
      <w:bookmarkEnd w:id="58"/>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给水</w:t>
      </w:r>
    </w:p>
    <w:p>
      <w:pPr>
        <w:ind w:firstLine="560"/>
        <w:rPr>
          <w:color w:val="000000" w:themeColor="text1"/>
          <w:highlight w:val="none"/>
          <w14:textFill>
            <w14:solidFill>
              <w14:schemeClr w14:val="tx1"/>
            </w14:solidFill>
          </w14:textFill>
        </w:rPr>
      </w:pPr>
      <w:r>
        <w:rPr>
          <w:rFonts w:hint="eastAsia"/>
          <w:color w:val="000000" w:themeColor="text1"/>
          <w:szCs w:val="28"/>
          <w:highlight w:val="none"/>
          <w:lang w:eastAsia="zh-CN"/>
          <w14:textFill>
            <w14:solidFill>
              <w14:schemeClr w14:val="tx1"/>
            </w14:solidFill>
          </w14:textFill>
        </w:rPr>
        <w:t>由</w:t>
      </w:r>
      <w:r>
        <w:rPr>
          <w:rFonts w:hint="eastAsia"/>
          <w:color w:val="000000" w:themeColor="text1"/>
          <w:szCs w:val="28"/>
          <w:highlight w:val="none"/>
          <w14:textFill>
            <w14:solidFill>
              <w14:schemeClr w14:val="tx1"/>
            </w14:solidFill>
          </w14:textFill>
        </w:rPr>
        <w:t>项目区</w:t>
      </w:r>
      <w:r>
        <w:rPr>
          <w:rFonts w:hint="eastAsia"/>
          <w:color w:val="000000" w:themeColor="text1"/>
          <w:szCs w:val="28"/>
          <w:highlight w:val="none"/>
          <w:lang w:eastAsia="zh-CN"/>
          <w14:textFill>
            <w14:solidFill>
              <w14:schemeClr w14:val="tx1"/>
            </w14:solidFill>
          </w14:textFill>
        </w:rPr>
        <w:t>内</w:t>
      </w:r>
      <w:r>
        <w:rPr>
          <w:rFonts w:hint="eastAsia"/>
          <w:color w:val="000000" w:themeColor="text1"/>
          <w:highlight w:val="none"/>
          <w14:textFill>
            <w14:solidFill>
              <w14:schemeClr w14:val="tx1"/>
            </w14:solidFill>
          </w14:textFill>
        </w:rPr>
        <w:t>已建给水管网，管径为DN1</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0，水压约为0.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MPa。</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.2排水</w:t>
      </w:r>
    </w:p>
    <w:p>
      <w:pPr>
        <w:ind w:firstLine="560"/>
        <w:rPr>
          <w:color w:val="000000" w:themeColor="text1"/>
          <w:highlight w:val="none"/>
          <w14:textFill>
            <w14:solidFill>
              <w14:schemeClr w14:val="tx1"/>
            </w14:solidFill>
          </w14:textFill>
        </w:rPr>
      </w:pPr>
      <w:r>
        <w:rPr>
          <w:rFonts w:hint="eastAsia"/>
          <w:color w:val="000000" w:themeColor="text1"/>
          <w:szCs w:val="28"/>
          <w:highlight w:val="none"/>
          <w:lang w:eastAsia="zh-CN"/>
          <w14:textFill>
            <w14:solidFill>
              <w14:schemeClr w14:val="tx1"/>
            </w14:solidFill>
          </w14:textFill>
        </w:rPr>
        <w:t>本</w:t>
      </w:r>
      <w:r>
        <w:rPr>
          <w:rFonts w:hint="eastAsia"/>
          <w:color w:val="000000" w:themeColor="text1"/>
          <w:szCs w:val="28"/>
          <w:highlight w:val="none"/>
          <w14:textFill>
            <w14:solidFill>
              <w14:schemeClr w14:val="tx1"/>
            </w14:solidFill>
          </w14:textFill>
        </w:rPr>
        <w:t>项目</w:t>
      </w:r>
      <w:r>
        <w:rPr>
          <w:rFonts w:hint="eastAsia"/>
          <w:color w:val="000000" w:themeColor="text1"/>
          <w:szCs w:val="28"/>
          <w:highlight w:val="none"/>
          <w:lang w:eastAsia="zh-CN"/>
          <w14:textFill>
            <w14:solidFill>
              <w14:schemeClr w14:val="tx1"/>
            </w14:solidFill>
          </w14:textFill>
        </w:rPr>
        <w:t>产生的生产</w:t>
      </w:r>
      <w:r>
        <w:rPr>
          <w:rFonts w:hint="eastAsia"/>
          <w:color w:val="000000" w:themeColor="text1"/>
          <w:highlight w:val="none"/>
          <w14:textFill>
            <w14:solidFill>
              <w14:schemeClr w14:val="tx1"/>
            </w14:solidFill>
          </w14:textFill>
        </w:rPr>
        <w:t>废水排至</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污水处理站处理后</w:t>
      </w:r>
      <w:r>
        <w:rPr>
          <w:rFonts w:hint="eastAsia"/>
          <w:color w:val="000000" w:themeColor="text1"/>
          <w:highlight w:val="none"/>
          <w:lang w:eastAsia="zh-CN"/>
          <w14:textFill>
            <w14:solidFill>
              <w14:schemeClr w14:val="tx1"/>
            </w14:solidFill>
          </w14:textFill>
        </w:rPr>
        <w:t>，排入园区污水管网</w:t>
      </w:r>
      <w:r>
        <w:rPr>
          <w:rFonts w:hint="eastAsia"/>
          <w:color w:val="000000" w:themeColor="text1"/>
          <w:highlight w:val="none"/>
          <w14:textFill>
            <w14:solidFill>
              <w14:schemeClr w14:val="tx1"/>
            </w14:solidFill>
          </w14:textFill>
        </w:rPr>
        <w:t>达标排放。雨水</w:t>
      </w:r>
      <w:r>
        <w:rPr>
          <w:rFonts w:hint="eastAsia"/>
          <w:color w:val="000000" w:themeColor="text1"/>
          <w:highlight w:val="none"/>
          <w:lang w:eastAsia="zh-CN"/>
          <w14:textFill>
            <w14:solidFill>
              <w14:schemeClr w14:val="tx1"/>
            </w14:solidFill>
          </w14:textFill>
        </w:rPr>
        <w:t>排入扶贫产业园区已建的市政雨水管网</w:t>
      </w:r>
      <w:r>
        <w:rPr>
          <w:rFonts w:hint="eastAsia"/>
          <w:color w:val="000000" w:themeColor="text1"/>
          <w:highlight w:val="none"/>
          <w14:textFill>
            <w14:solidFill>
              <w14:schemeClr w14:val="tx1"/>
            </w14:solidFill>
          </w14:textFill>
        </w:rPr>
        <w:t>。</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.3供暖</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供热</w:t>
      </w:r>
      <w:r>
        <w:rPr>
          <w:rFonts w:hint="eastAsia"/>
          <w:color w:val="000000" w:themeColor="text1"/>
          <w:highlight w:val="none"/>
          <w:lang w:eastAsia="zh-CN"/>
          <w14:textFill>
            <w14:solidFill>
              <w14:schemeClr w14:val="tx1"/>
            </w14:solidFill>
          </w14:textFill>
        </w:rPr>
        <w:t>由</w:t>
      </w:r>
      <w:r>
        <w:rPr>
          <w:rFonts w:hint="eastAsia"/>
          <w:color w:val="000000" w:themeColor="text1"/>
          <w:highlight w:val="none"/>
          <w14:textFill>
            <w14:solidFill>
              <w14:schemeClr w14:val="tx1"/>
            </w14:solidFill>
          </w14:textFill>
        </w:rPr>
        <w:t>扶贫产业园内集中供热锅炉房</w:t>
      </w:r>
      <w:r>
        <w:rPr>
          <w:rFonts w:hint="eastAsia"/>
          <w:color w:val="000000" w:themeColor="text1"/>
          <w:highlight w:val="none"/>
          <w:lang w:eastAsia="zh-CN"/>
          <w14:textFill>
            <w14:solidFill>
              <w14:schemeClr w14:val="tx1"/>
            </w14:solidFill>
          </w14:textFill>
        </w:rPr>
        <w:t>接入</w:t>
      </w:r>
      <w:r>
        <w:rPr>
          <w:color w:val="000000" w:themeColor="text1"/>
          <w:highlight w:val="none"/>
          <w14:textFill>
            <w14:solidFill>
              <w14:schemeClr w14:val="tx1"/>
            </w14:solidFill>
          </w14:textFill>
        </w:rPr>
        <w:t>。</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供电</w:t>
      </w:r>
    </w:p>
    <w:p>
      <w:pPr>
        <w:ind w:firstLine="560"/>
        <w:rPr>
          <w:color w:val="000000" w:themeColor="text1"/>
          <w:highlight w:val="none"/>
          <w14:textFill>
            <w14:solidFill>
              <w14:schemeClr w14:val="tx1"/>
            </w14:solidFill>
          </w14:textFill>
        </w:rPr>
      </w:pPr>
      <w:r>
        <w:rPr>
          <w:rFonts w:hint="eastAsia"/>
          <w:color w:val="000000" w:themeColor="text1"/>
          <w:kern w:val="0"/>
          <w:szCs w:val="28"/>
          <w:highlight w:val="none"/>
          <w14:textFill>
            <w14:solidFill>
              <w14:schemeClr w14:val="tx1"/>
            </w14:solidFill>
          </w14:textFill>
        </w:rPr>
        <w:t>项目区南侧214国道上有10</w:t>
      </w:r>
      <w:r>
        <w:rPr>
          <w:rFonts w:hint="eastAsia"/>
          <w:color w:val="000000" w:themeColor="text1"/>
          <w:kern w:val="0"/>
          <w:szCs w:val="28"/>
          <w:highlight w:val="none"/>
          <w:lang w:val="en-US" w:eastAsia="zh-CN"/>
          <w14:textFill>
            <w14:solidFill>
              <w14:schemeClr w14:val="tx1"/>
            </w14:solidFill>
          </w14:textFill>
        </w:rPr>
        <w:t>k</w:t>
      </w:r>
      <w:r>
        <w:rPr>
          <w:rFonts w:hint="eastAsia"/>
          <w:color w:val="000000" w:themeColor="text1"/>
          <w:kern w:val="0"/>
          <w:szCs w:val="28"/>
          <w:highlight w:val="none"/>
          <w14:textFill>
            <w14:solidFill>
              <w14:schemeClr w14:val="tx1"/>
            </w14:solidFill>
          </w14:textFill>
        </w:rPr>
        <w:t>V市政高压电网经过，本项目用电电源可由此市政高压电网T接引入，T接距离约为</w:t>
      </w:r>
      <w:r>
        <w:rPr>
          <w:rFonts w:hint="eastAsia"/>
          <w:color w:val="000000" w:themeColor="text1"/>
          <w:kern w:val="0"/>
          <w:szCs w:val="28"/>
          <w:highlight w:val="none"/>
          <w:lang w:val="en-US" w:eastAsia="zh-CN"/>
          <w14:textFill>
            <w14:solidFill>
              <w14:schemeClr w14:val="tx1"/>
            </w14:solidFill>
          </w14:textFill>
        </w:rPr>
        <w:t>9</w:t>
      </w:r>
      <w:r>
        <w:rPr>
          <w:rFonts w:hint="eastAsia"/>
          <w:color w:val="000000" w:themeColor="text1"/>
          <w:kern w:val="0"/>
          <w:szCs w:val="28"/>
          <w:highlight w:val="none"/>
          <w14:textFill>
            <w14:solidFill>
              <w14:schemeClr w14:val="tx1"/>
            </w14:solidFill>
          </w14:textFill>
        </w:rPr>
        <w:t>0m。</w:t>
      </w:r>
    </w:p>
    <w:p>
      <w:pPr>
        <w:pStyle w:val="4"/>
        <w:ind w:firstLine="60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lang w:val="zh-CN"/>
          <w14:textFill>
            <w14:solidFill>
              <w14:schemeClr w14:val="tx1"/>
            </w14:solidFill>
          </w14:textFill>
        </w:rPr>
        <w:t>交通运输及建筑材料条件</w:t>
      </w:r>
    </w:p>
    <w:p>
      <w:pPr>
        <w:ind w:firstLine="560"/>
        <w:rPr>
          <w:rFonts w:ascii="Times New Roman" w:hAnsi="Times New Roman" w:cs="Times New Roman"/>
          <w:color w:val="000000" w:themeColor="text1"/>
          <w:szCs w:val="28"/>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项目所用砂、砂砾、砾石等材料可从当地经相关部门审批具有环保资质的料场采购；水泥、钢材、管材可从西宁采购运输。</w:t>
      </w:r>
    </w:p>
    <w:p>
      <w:pPr>
        <w:pStyle w:val="3"/>
        <w:spacing w:before="192" w:after="216"/>
        <w:rPr>
          <w:color w:val="000000" w:themeColor="text1"/>
          <w:highlight w:val="none"/>
          <w14:textFill>
            <w14:solidFill>
              <w14:schemeClr w14:val="tx1"/>
            </w14:solidFill>
          </w14:textFill>
        </w:rPr>
      </w:pPr>
      <w:bookmarkStart w:id="59" w:name="_Toc21641"/>
      <w:bookmarkStart w:id="60" w:name="_Toc17612"/>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经济社会条件</w:t>
      </w:r>
      <w:bookmarkEnd w:id="59"/>
      <w:bookmarkEnd w:id="60"/>
    </w:p>
    <w:p>
      <w:pPr>
        <w:spacing w:line="360" w:lineRule="auto"/>
        <w:ind w:firstLine="560" w:firstLineChars="200"/>
        <w:rPr>
          <w:rFonts w:hint="eastAsia" w:ascii="仿宋" w:hAnsi="仿宋" w:eastAsia="仿宋" w:cs="宋体"/>
          <w:color w:val="000000" w:themeColor="text1"/>
          <w:szCs w:val="28"/>
          <w:lang w:val="en-US" w:eastAsia="zh-CN"/>
          <w14:textFill>
            <w14:solidFill>
              <w14:schemeClr w14:val="tx1"/>
            </w14:solidFill>
          </w14:textFill>
        </w:rPr>
      </w:pPr>
      <w:r>
        <w:rPr>
          <w:rFonts w:hint="eastAsia" w:ascii="仿宋" w:hAnsi="仿宋" w:eastAsia="仿宋" w:cs="宋体"/>
          <w:color w:val="000000" w:themeColor="text1"/>
          <w:szCs w:val="28"/>
          <w:lang w:val="zh-CN" w:eastAsia="zh-CN"/>
          <w14:textFill>
            <w14:solidFill>
              <w14:schemeClr w14:val="tx1"/>
            </w14:solidFill>
          </w14:textFill>
        </w:rPr>
        <w:t>2020年，</w:t>
      </w:r>
      <w:r>
        <w:rPr>
          <w:rFonts w:hint="eastAsia" w:ascii="仿宋" w:hAnsi="仿宋" w:eastAsia="仿宋" w:cs="宋体"/>
          <w:color w:val="000000" w:themeColor="text1"/>
          <w:szCs w:val="28"/>
          <w:lang w:val="en-US" w:eastAsia="zh-CN"/>
          <w14:textFill>
            <w14:solidFill>
              <w14:schemeClr w14:val="tx1"/>
            </w14:solidFill>
          </w14:textFill>
        </w:rPr>
        <w:t>囊谦县</w:t>
      </w:r>
      <w:r>
        <w:rPr>
          <w:rFonts w:hint="eastAsia" w:ascii="仿宋" w:hAnsi="仿宋" w:eastAsia="仿宋" w:cs="宋体"/>
          <w:color w:val="000000" w:themeColor="text1"/>
          <w:szCs w:val="28"/>
          <w:lang w:val="zh-CN" w:eastAsia="zh-CN"/>
          <w14:textFill>
            <w14:solidFill>
              <w14:schemeClr w14:val="tx1"/>
            </w14:solidFill>
          </w14:textFill>
        </w:rPr>
        <w:t>全县</w:t>
      </w:r>
      <w:r>
        <w:rPr>
          <w:rFonts w:hint="eastAsia" w:ascii="仿宋" w:hAnsi="仿宋" w:eastAsia="仿宋" w:cs="宋体"/>
          <w:color w:val="000000" w:themeColor="text1"/>
          <w:szCs w:val="28"/>
          <w:lang w:val="en-US" w:eastAsia="zh-CN"/>
          <w14:textFill>
            <w14:solidFill>
              <w14:schemeClr w14:val="tx1"/>
            </w14:solidFill>
          </w14:textFill>
        </w:rPr>
        <w:t>地区生产总值达8.65亿元，同比增长0.1%；完成全社会固定资产投资9.55亿元，同比增长3.24%；地方财政一般预算收入达4067万元，比年初预算增长22.2%；城镇居民人均可支配收入达到32874元，增长4.8%，农牧民人均可支配收入达到8728元，增长7.2%；社会消费品零售总额达到1.8亿元，同比减少6.9%。</w:t>
      </w:r>
    </w:p>
    <w:p>
      <w:pPr>
        <w:pStyle w:val="39"/>
        <w:rPr>
          <w:rFonts w:hint="default"/>
          <w:color w:val="000000" w:themeColor="text1"/>
          <w:lang w:val="en-US" w:eastAsia="zh-CN"/>
          <w14:textFill>
            <w14:solidFill>
              <w14:schemeClr w14:val="tx1"/>
            </w14:solidFill>
          </w14:textFill>
        </w:rPr>
      </w:pPr>
    </w:p>
    <w:p>
      <w:pPr>
        <w:pStyle w:val="2"/>
        <w:rPr>
          <w:color w:val="000000" w:themeColor="text1"/>
          <w:highlight w:val="none"/>
          <w14:textFill>
            <w14:solidFill>
              <w14:schemeClr w14:val="tx1"/>
            </w14:solidFill>
          </w14:textFill>
        </w:rPr>
      </w:pPr>
      <w:bookmarkStart w:id="61" w:name="_Toc27622"/>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 xml:space="preserve">章  </w:t>
      </w:r>
      <w:r>
        <w:rPr>
          <w:rFonts w:hint="eastAsia"/>
          <w:color w:val="000000" w:themeColor="text1"/>
          <w:highlight w:val="none"/>
          <w14:textFill>
            <w14:solidFill>
              <w14:schemeClr w14:val="tx1"/>
            </w14:solidFill>
          </w14:textFill>
        </w:rPr>
        <w:t>建设</w:t>
      </w:r>
      <w:r>
        <w:rPr>
          <w:color w:val="000000" w:themeColor="text1"/>
          <w:highlight w:val="none"/>
          <w14:textFill>
            <w14:solidFill>
              <w14:schemeClr w14:val="tx1"/>
            </w14:solidFill>
          </w14:textFill>
        </w:rPr>
        <w:t>规模及</w:t>
      </w:r>
      <w:bookmarkEnd w:id="53"/>
      <w:r>
        <w:rPr>
          <w:color w:val="000000" w:themeColor="text1"/>
          <w:highlight w:val="none"/>
          <w14:textFill>
            <w14:solidFill>
              <w14:schemeClr w14:val="tx1"/>
            </w14:solidFill>
          </w14:textFill>
        </w:rPr>
        <w:t>内容</w:t>
      </w:r>
      <w:bookmarkEnd w:id="61"/>
    </w:p>
    <w:p>
      <w:pPr>
        <w:pStyle w:val="3"/>
        <w:bidi w:val="0"/>
        <w:rPr>
          <w:rFonts w:hint="eastAsia"/>
          <w:color w:val="000000" w:themeColor="text1"/>
          <w:lang w:eastAsia="zh-CN"/>
          <w14:textFill>
            <w14:solidFill>
              <w14:schemeClr w14:val="tx1"/>
            </w14:solidFill>
          </w14:textFill>
        </w:rPr>
      </w:pPr>
      <w:bookmarkStart w:id="62" w:name="_Toc19498"/>
      <w:r>
        <w:rPr>
          <w:rFonts w:hint="eastAsia"/>
          <w:color w:val="000000" w:themeColor="text1"/>
          <w14:textFill>
            <w14:solidFill>
              <w14:schemeClr w14:val="tx1"/>
            </w14:solidFill>
          </w14:textFill>
        </w:rPr>
        <w:t>5.1生产规模</w:t>
      </w:r>
      <w:r>
        <w:rPr>
          <w:rFonts w:hint="eastAsia"/>
          <w:color w:val="000000" w:themeColor="text1"/>
          <w:lang w:eastAsia="zh-CN"/>
          <w14:textFill>
            <w14:solidFill>
              <w14:schemeClr w14:val="tx1"/>
            </w14:solidFill>
          </w14:textFill>
        </w:rPr>
        <w:t>与产品方案</w:t>
      </w:r>
      <w:bookmarkEnd w:id="62"/>
    </w:p>
    <w:bookmarkEnd w:id="54"/>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28"/>
          <w:lang w:val="zh-CN"/>
          <w14:textFill>
            <w14:solidFill>
              <w14:schemeClr w14:val="tx1"/>
            </w14:solidFill>
          </w14:textFill>
        </w:rPr>
      </w:pPr>
      <w:bookmarkStart w:id="63" w:name="_Toc2018828"/>
      <w:bookmarkStart w:id="64" w:name="_Toc38009725"/>
      <w:bookmarkStart w:id="65" w:name="_Toc21199"/>
      <w:bookmarkStart w:id="66" w:name="_Toc247421870"/>
      <w:bookmarkStart w:id="67" w:name="_Toc11728"/>
      <w:bookmarkStart w:id="68" w:name="_Toc45254"/>
      <w:bookmarkStart w:id="69" w:name="_Toc972530"/>
      <w:bookmarkStart w:id="70" w:name="_Toc43714871"/>
      <w:bookmarkStart w:id="71" w:name="_Toc165426874"/>
      <w:bookmarkStart w:id="72" w:name="_Toc156030550"/>
      <w:bookmarkStart w:id="73" w:name="_Toc186604854"/>
      <w:bookmarkStart w:id="74" w:name="_Toc332721786"/>
      <w:bookmarkStart w:id="75" w:name="_Toc44179"/>
      <w:bookmarkStart w:id="76" w:name="_Toc239050082"/>
      <w:bookmarkStart w:id="77" w:name="_Toc255546377"/>
      <w:bookmarkStart w:id="78" w:name="_Toc312172941"/>
      <w:bookmarkStart w:id="79" w:name="_Toc164052841"/>
      <w:bookmarkStart w:id="80" w:name="_Toc43002072"/>
      <w:bookmarkStart w:id="81" w:name="_Toc104178004"/>
      <w:bookmarkStart w:id="82" w:name="_Toc44189"/>
      <w:bookmarkStart w:id="83" w:name="_Toc409168107"/>
      <w:bookmarkStart w:id="84" w:name="_Toc156030539"/>
      <w:bookmarkStart w:id="85" w:name="_Toc6498"/>
      <w:bookmarkStart w:id="86" w:name="_Toc256170007"/>
      <w:bookmarkStart w:id="87" w:name="_Toc44404"/>
      <w:bookmarkStart w:id="88" w:name="_Toc317324736"/>
      <w:bookmarkStart w:id="89" w:name="_Toc15281"/>
      <w:bookmarkStart w:id="90" w:name="_Toc37906498"/>
      <w:bookmarkStart w:id="91" w:name="_Toc272157674"/>
      <w:bookmarkStart w:id="92" w:name="_Toc45177"/>
      <w:bookmarkStart w:id="93" w:name="_Toc42070561"/>
      <w:bookmarkStart w:id="94" w:name="_Toc6026709"/>
      <w:bookmarkStart w:id="95" w:name="_Toc21775"/>
      <w:bookmarkStart w:id="96" w:name="_Toc18845"/>
      <w:bookmarkStart w:id="97" w:name="_Toc8534"/>
      <w:bookmarkStart w:id="98" w:name="_Toc257724332"/>
      <w:bookmarkStart w:id="99" w:name="_Toc2868"/>
      <w:bookmarkStart w:id="100" w:name="_Toc1940192"/>
      <w:bookmarkStart w:id="101" w:name="_Toc44820"/>
      <w:bookmarkStart w:id="102" w:name="_Toc490729113"/>
      <w:bookmarkStart w:id="103" w:name="_Toc44414"/>
      <w:bookmarkStart w:id="104" w:name="_Toc45264"/>
      <w:bookmarkStart w:id="105" w:name="_Toc254424576"/>
      <w:bookmarkStart w:id="106" w:name="_Toc45187"/>
      <w:bookmarkStart w:id="107" w:name="_Toc43714881"/>
      <w:bookmarkStart w:id="108" w:name="_Toc413831555"/>
      <w:bookmarkStart w:id="109" w:name="_Toc972540"/>
      <w:bookmarkStart w:id="110" w:name="_Toc31359"/>
      <w:bookmarkStart w:id="111" w:name="_Toc1940182"/>
      <w:bookmarkStart w:id="112" w:name="_Toc2018838"/>
      <w:bookmarkStart w:id="113" w:name="_Toc44810"/>
      <w:bookmarkStart w:id="114" w:name="_Toc104178007"/>
      <w:bookmarkStart w:id="115" w:name="_Toc505958290"/>
      <w:r>
        <w:rPr>
          <w:rFonts w:hint="eastAsia" w:cs="仿宋"/>
          <w:color w:val="000000" w:themeColor="text1"/>
          <w:sz w:val="28"/>
          <w:szCs w:val="28"/>
          <w:lang w:val="zh-CN"/>
          <w14:textFill>
            <w14:solidFill>
              <w14:schemeClr w14:val="tx1"/>
            </w14:solidFill>
          </w14:textFill>
        </w:rPr>
        <w:t>根据</w:t>
      </w:r>
      <w:r>
        <w:rPr>
          <w:rFonts w:hint="eastAsia" w:ascii="仿宋" w:hAnsi="仿宋" w:eastAsia="仿宋" w:cs="仿宋"/>
          <w:color w:val="000000" w:themeColor="text1"/>
          <w:sz w:val="28"/>
          <w:szCs w:val="28"/>
          <w:lang w:val="zh-CN"/>
          <w14:textFill>
            <w14:solidFill>
              <w14:schemeClr w14:val="tx1"/>
            </w14:solidFill>
          </w14:textFill>
        </w:rPr>
        <w:t>囊谦县黑青稞种植规模、原辅材料资源供应量、产品市场需求量等因素，确定本项目</w:t>
      </w:r>
      <w:r>
        <w:rPr>
          <w:rFonts w:hint="eastAsia" w:cs="仿宋"/>
          <w:color w:val="000000" w:themeColor="text1"/>
          <w:sz w:val="28"/>
          <w:szCs w:val="28"/>
          <w:lang w:val="zh-CN"/>
          <w14:textFill>
            <w14:solidFill>
              <w14:schemeClr w14:val="tx1"/>
            </w14:solidFill>
          </w14:textFill>
        </w:rPr>
        <w:t>年生</w:t>
      </w:r>
      <w:r>
        <w:rPr>
          <w:rFonts w:hint="eastAsia" w:ascii="仿宋" w:hAnsi="仿宋" w:eastAsia="仿宋" w:cs="仿宋"/>
          <w:color w:val="000000" w:themeColor="text1"/>
          <w:szCs w:val="28"/>
          <w:highlight w:val="none"/>
          <w:lang w:val="zh-CN"/>
          <w14:textFill>
            <w14:solidFill>
              <w14:schemeClr w14:val="tx1"/>
            </w14:solidFill>
          </w14:textFill>
        </w:rPr>
        <w:t>产黑青稞啤酒系列产品</w:t>
      </w:r>
      <w:r>
        <w:rPr>
          <w:rFonts w:hint="eastAsia" w:cs="仿宋"/>
          <w:color w:val="000000" w:themeColor="text1"/>
          <w:szCs w:val="28"/>
          <w:highlight w:val="none"/>
          <w:lang w:val="en-US" w:eastAsia="zh-CN"/>
          <w14:textFill>
            <w14:solidFill>
              <w14:schemeClr w14:val="tx1"/>
            </w14:solidFill>
          </w14:textFill>
        </w:rPr>
        <w:t>50</w:t>
      </w:r>
      <w:r>
        <w:rPr>
          <w:rFonts w:hint="eastAsia" w:ascii="仿宋" w:hAnsi="仿宋" w:eastAsia="仿宋" w:cs="仿宋"/>
          <w:color w:val="000000" w:themeColor="text1"/>
          <w:szCs w:val="28"/>
          <w:highlight w:val="none"/>
          <w:lang w:val="en-US" w:eastAsia="zh-CN"/>
          <w14:textFill>
            <w14:solidFill>
              <w14:schemeClr w14:val="tx1"/>
            </w14:solidFill>
          </w14:textFill>
        </w:rPr>
        <w:t>00t，其中12°P拉格啤酒</w:t>
      </w:r>
      <w:r>
        <w:rPr>
          <w:rFonts w:hint="eastAsia" w:cs="仿宋"/>
          <w:color w:val="000000" w:themeColor="text1"/>
          <w:sz w:val="28"/>
          <w:szCs w:val="28"/>
          <w:lang w:val="zh-CN"/>
          <w14:textFill>
            <w14:solidFill>
              <w14:schemeClr w14:val="tx1"/>
            </w14:solidFill>
          </w14:textFill>
        </w:rPr>
        <w:t>生</w:t>
      </w:r>
      <w:r>
        <w:rPr>
          <w:rFonts w:hint="eastAsia" w:ascii="仿宋" w:hAnsi="仿宋" w:eastAsia="仿宋" w:cs="仿宋"/>
          <w:color w:val="000000" w:themeColor="text1"/>
          <w:szCs w:val="28"/>
          <w:highlight w:val="none"/>
          <w:lang w:val="zh-CN"/>
          <w14:textFill>
            <w14:solidFill>
              <w14:schemeClr w14:val="tx1"/>
            </w14:solidFill>
          </w14:textFill>
        </w:rPr>
        <w:t>产</w:t>
      </w:r>
      <w:r>
        <w:rPr>
          <w:rFonts w:hint="eastAsia" w:ascii="仿宋" w:hAnsi="仿宋" w:eastAsia="仿宋" w:cs="仿宋"/>
          <w:color w:val="000000" w:themeColor="text1"/>
          <w:sz w:val="28"/>
          <w:szCs w:val="28"/>
          <w:lang w:val="zh-CN"/>
          <w14:textFill>
            <w14:solidFill>
              <w14:schemeClr w14:val="tx1"/>
            </w14:solidFill>
          </w14:textFill>
        </w:rPr>
        <w:t>规模</w:t>
      </w:r>
      <w:r>
        <w:rPr>
          <w:rFonts w:hint="eastAsia" w:cs="仿宋"/>
          <w:color w:val="000000" w:themeColor="text1"/>
          <w:szCs w:val="28"/>
          <w:highlight w:val="none"/>
          <w:lang w:val="en-US" w:eastAsia="zh-CN"/>
          <w14:textFill>
            <w14:solidFill>
              <w14:schemeClr w14:val="tx1"/>
            </w14:solidFill>
          </w14:textFill>
        </w:rPr>
        <w:t>3000</w:t>
      </w:r>
      <w:r>
        <w:rPr>
          <w:rFonts w:hint="eastAsia" w:ascii="仿宋" w:hAnsi="仿宋" w:eastAsia="仿宋" w:cs="仿宋"/>
          <w:color w:val="000000" w:themeColor="text1"/>
          <w:szCs w:val="28"/>
          <w:highlight w:val="none"/>
          <w:lang w:val="en-US" w:eastAsia="zh-CN"/>
          <w14:textFill>
            <w14:solidFill>
              <w14:schemeClr w14:val="tx1"/>
            </w14:solidFill>
          </w14:textFill>
        </w:rPr>
        <w:t>t，13.5°P黑啤</w:t>
      </w:r>
      <w:r>
        <w:rPr>
          <w:rFonts w:hint="eastAsia" w:cs="仿宋"/>
          <w:color w:val="000000" w:themeColor="text1"/>
          <w:sz w:val="28"/>
          <w:szCs w:val="28"/>
          <w:lang w:val="zh-CN"/>
          <w14:textFill>
            <w14:solidFill>
              <w14:schemeClr w14:val="tx1"/>
            </w14:solidFill>
          </w14:textFill>
        </w:rPr>
        <w:t>生</w:t>
      </w:r>
      <w:r>
        <w:rPr>
          <w:rFonts w:hint="eastAsia" w:ascii="仿宋" w:hAnsi="仿宋" w:eastAsia="仿宋" w:cs="仿宋"/>
          <w:color w:val="000000" w:themeColor="text1"/>
          <w:szCs w:val="28"/>
          <w:highlight w:val="none"/>
          <w:lang w:val="zh-CN"/>
          <w14:textFill>
            <w14:solidFill>
              <w14:schemeClr w14:val="tx1"/>
            </w14:solidFill>
          </w14:textFill>
        </w:rPr>
        <w:t>产</w:t>
      </w:r>
      <w:r>
        <w:rPr>
          <w:rFonts w:hint="eastAsia" w:ascii="仿宋" w:hAnsi="仿宋" w:eastAsia="仿宋" w:cs="仿宋"/>
          <w:color w:val="000000" w:themeColor="text1"/>
          <w:sz w:val="28"/>
          <w:szCs w:val="28"/>
          <w:lang w:val="zh-CN"/>
          <w14:textFill>
            <w14:solidFill>
              <w14:schemeClr w14:val="tx1"/>
            </w14:solidFill>
          </w14:textFill>
        </w:rPr>
        <w:t>规模</w:t>
      </w:r>
      <w:r>
        <w:rPr>
          <w:rFonts w:hint="eastAsia" w:cs="仿宋"/>
          <w:color w:val="000000" w:themeColor="text1"/>
          <w:szCs w:val="28"/>
          <w:highlight w:val="none"/>
          <w:lang w:val="en-US" w:eastAsia="zh-CN"/>
          <w14:textFill>
            <w14:solidFill>
              <w14:schemeClr w14:val="tx1"/>
            </w14:solidFill>
          </w14:textFill>
        </w:rPr>
        <w:t>2000</w:t>
      </w:r>
      <w:r>
        <w:rPr>
          <w:rFonts w:hint="eastAsia" w:ascii="仿宋" w:hAnsi="仿宋" w:eastAsia="仿宋" w:cs="仿宋"/>
          <w:color w:val="000000" w:themeColor="text1"/>
          <w:szCs w:val="28"/>
          <w:highlight w:val="none"/>
          <w:lang w:val="en-US" w:eastAsia="zh-CN"/>
          <w14:textFill>
            <w14:solidFill>
              <w14:schemeClr w14:val="tx1"/>
            </w14:solidFill>
          </w14:textFill>
        </w:rPr>
        <w:t>t。</w:t>
      </w:r>
      <w:r>
        <w:rPr>
          <w:rFonts w:hint="eastAsia" w:ascii="仿宋" w:hAnsi="仿宋" w:eastAsia="仿宋" w:cs="仿宋"/>
          <w:color w:val="000000" w:themeColor="text1"/>
          <w:sz w:val="28"/>
          <w:szCs w:val="28"/>
          <w:lang w:val="zh-CN"/>
          <w14:textFill>
            <w14:solidFill>
              <w14:schemeClr w14:val="tx1"/>
            </w14:solidFill>
          </w14:textFill>
        </w:rPr>
        <w:t>项目产品方案详见下表所示：</w:t>
      </w:r>
    </w:p>
    <w:p>
      <w:pPr>
        <w:spacing w:line="240" w:lineRule="auto"/>
        <w:ind w:firstLine="482"/>
        <w:jc w:val="center"/>
        <w:rPr>
          <w:rFonts w:hint="eastAsia" w:cs="宋体"/>
          <w:b/>
          <w:bCs/>
          <w:color w:val="000000" w:themeColor="text1"/>
          <w:sz w:val="24"/>
          <w:highlight w:val="none"/>
          <w:lang w:val="zh-CN"/>
          <w14:textFill>
            <w14:solidFill>
              <w14:schemeClr w14:val="tx1"/>
            </w14:solidFill>
          </w14:textFill>
        </w:rPr>
      </w:pPr>
      <w:r>
        <w:rPr>
          <w:rFonts w:hint="eastAsia" w:cs="宋体"/>
          <w:b/>
          <w:bCs/>
          <w:color w:val="000000" w:themeColor="text1"/>
          <w:sz w:val="24"/>
          <w:highlight w:val="none"/>
          <w:lang w:val="zh-CN"/>
          <w14:textFill>
            <w14:solidFill>
              <w14:schemeClr w14:val="tx1"/>
            </w14:solidFill>
          </w14:textFill>
        </w:rPr>
        <w:t>产品方案及产量一览表</w:t>
      </w:r>
    </w:p>
    <w:p>
      <w:pPr>
        <w:spacing w:line="240" w:lineRule="auto"/>
        <w:ind w:firstLine="0" w:firstLineChars="0"/>
        <w:jc w:val="left"/>
        <w:rPr>
          <w:rFonts w:hint="eastAsia" w:cs="宋体"/>
          <w:b/>
          <w:bCs/>
          <w:color w:val="000000" w:themeColor="text1"/>
          <w:sz w:val="21"/>
          <w:szCs w:val="21"/>
          <w:highlight w:val="none"/>
          <w:lang w:val="zh-CN"/>
          <w14:textFill>
            <w14:solidFill>
              <w14:schemeClr w14:val="tx1"/>
            </w14:solidFill>
          </w14:textFill>
        </w:rPr>
      </w:pPr>
      <w:r>
        <w:rPr>
          <w:rFonts w:hint="eastAsia" w:cs="宋体"/>
          <w:b/>
          <w:bCs/>
          <w:color w:val="000000" w:themeColor="text1"/>
          <w:sz w:val="21"/>
          <w:szCs w:val="21"/>
          <w:highlight w:val="none"/>
          <w:lang w:val="zh-CN"/>
          <w14:textFill>
            <w14:solidFill>
              <w14:schemeClr w14:val="tx1"/>
            </w14:solidFill>
          </w14:textFill>
        </w:rPr>
        <w:t>表5-1</w:t>
      </w:r>
    </w:p>
    <w:tbl>
      <w:tblPr>
        <w:tblStyle w:val="40"/>
        <w:tblW w:w="5000" w:type="pct"/>
        <w:tblInd w:w="0" w:type="dxa"/>
        <w:shd w:val="clear" w:color="auto" w:fill="auto"/>
        <w:tblLayout w:type="fixed"/>
        <w:tblCellMar>
          <w:top w:w="0" w:type="dxa"/>
          <w:left w:w="0" w:type="dxa"/>
          <w:bottom w:w="0" w:type="dxa"/>
          <w:right w:w="0" w:type="dxa"/>
        </w:tblCellMar>
      </w:tblPr>
      <w:tblGrid>
        <w:gridCol w:w="803"/>
        <w:gridCol w:w="3261"/>
        <w:gridCol w:w="3516"/>
        <w:gridCol w:w="788"/>
        <w:gridCol w:w="734"/>
      </w:tblGrid>
      <w:tr>
        <w:tblPrEx>
          <w:shd w:val="clear" w:color="auto" w:fill="auto"/>
          <w:tblCellMar>
            <w:top w:w="0" w:type="dxa"/>
            <w:left w:w="0" w:type="dxa"/>
            <w:bottom w:w="0" w:type="dxa"/>
            <w:right w:w="0" w:type="dxa"/>
          </w:tblCellMar>
        </w:tblPrEx>
        <w:trPr>
          <w:trHeight w:val="609" w:hRule="exact"/>
        </w:trPr>
        <w:tc>
          <w:tcPr>
            <w:tcW w:w="440" w:type="pct"/>
            <w:tcBorders>
              <w:top w:val="double" w:color="000000" w:sz="4" w:space="0"/>
              <w:left w:val="doub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序号</w:t>
            </w:r>
          </w:p>
        </w:tc>
        <w:tc>
          <w:tcPr>
            <w:tcW w:w="1791"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产品名称</w:t>
            </w:r>
          </w:p>
        </w:tc>
        <w:tc>
          <w:tcPr>
            <w:tcW w:w="1931"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包装规格</w:t>
            </w:r>
          </w:p>
        </w:tc>
        <w:tc>
          <w:tcPr>
            <w:tcW w:w="432"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数量（T）</w:t>
            </w:r>
          </w:p>
        </w:tc>
        <w:tc>
          <w:tcPr>
            <w:tcW w:w="403" w:type="pct"/>
            <w:tcBorders>
              <w:top w:val="double" w:color="000000" w:sz="4" w:space="0"/>
              <w:left w:val="single" w:color="000000" w:sz="4" w:space="0"/>
              <w:bottom w:val="sing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备注</w:t>
            </w:r>
          </w:p>
        </w:tc>
      </w:tr>
      <w:tr>
        <w:tblPrEx>
          <w:tblCellMar>
            <w:top w:w="0" w:type="dxa"/>
            <w:left w:w="0" w:type="dxa"/>
            <w:bottom w:w="0" w:type="dxa"/>
            <w:right w:w="0" w:type="dxa"/>
          </w:tblCellMar>
        </w:tblPrEx>
        <w:trPr>
          <w:trHeight w:val="454" w:hRule="exact"/>
        </w:trPr>
        <w:tc>
          <w:tcPr>
            <w:tcW w:w="440" w:type="pct"/>
            <w:tcBorders>
              <w:top w:val="single" w:color="000000" w:sz="4" w:space="0"/>
              <w:left w:val="doub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w:t>
            </w:r>
          </w:p>
        </w:tc>
        <w:tc>
          <w:tcPr>
            <w:tcW w:w="17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黑青稞12°P拉格啤酒</w:t>
            </w:r>
          </w:p>
        </w:tc>
        <w:tc>
          <w:tcPr>
            <w:tcW w:w="19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298ml/罐（瓶）、24罐（瓶）/箱</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3000</w:t>
            </w:r>
          </w:p>
        </w:tc>
        <w:tc>
          <w:tcPr>
            <w:tcW w:w="403" w:type="pct"/>
            <w:tcBorders>
              <w:top w:val="single" w:color="000000" w:sz="4" w:space="0"/>
              <w:left w:val="single" w:color="000000" w:sz="4" w:space="0"/>
              <w:bottom w:val="sing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p>
        </w:tc>
      </w:tr>
      <w:tr>
        <w:tblPrEx>
          <w:tblCellMar>
            <w:top w:w="0" w:type="dxa"/>
            <w:left w:w="0" w:type="dxa"/>
            <w:bottom w:w="0" w:type="dxa"/>
            <w:right w:w="0" w:type="dxa"/>
          </w:tblCellMar>
        </w:tblPrEx>
        <w:trPr>
          <w:trHeight w:val="454" w:hRule="exact"/>
        </w:trPr>
        <w:tc>
          <w:tcPr>
            <w:tcW w:w="440" w:type="pct"/>
            <w:tcBorders>
              <w:top w:val="single" w:color="000000" w:sz="4" w:space="0"/>
              <w:left w:val="doub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p>
        </w:tc>
        <w:tc>
          <w:tcPr>
            <w:tcW w:w="1791"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黑青稞啤酒（13.5°P黑啤）</w:t>
            </w:r>
          </w:p>
        </w:tc>
        <w:tc>
          <w:tcPr>
            <w:tcW w:w="1931"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298ml/罐（瓶）、24罐（瓶）/箱</w:t>
            </w:r>
          </w:p>
        </w:tc>
        <w:tc>
          <w:tcPr>
            <w:tcW w:w="432"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2000</w:t>
            </w:r>
          </w:p>
        </w:tc>
        <w:tc>
          <w:tcPr>
            <w:tcW w:w="403" w:type="pct"/>
            <w:tcBorders>
              <w:top w:val="single" w:color="000000" w:sz="4" w:space="0"/>
              <w:left w:val="single" w:color="000000" w:sz="4" w:space="0"/>
              <w:bottom w:val="doub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仿宋" w:hAnsi="仿宋" w:eastAsia="仿宋" w:cs="仿宋"/>
          <w:b/>
          <w:bCs/>
          <w:color w:val="000000" w:themeColor="text1"/>
          <w:sz w:val="21"/>
          <w:szCs w:val="21"/>
          <w:highlight w:val="none"/>
          <w:lang w:val="zh-CN"/>
          <w14:textFill>
            <w14:solidFill>
              <w14:schemeClr w14:val="tx1"/>
            </w14:solidFill>
          </w14:textFill>
        </w:rPr>
      </w:pPr>
      <w:r>
        <w:rPr>
          <w:rFonts w:hint="eastAsia" w:ascii="仿宋" w:hAnsi="仿宋" w:eastAsia="仿宋" w:cs="仿宋"/>
          <w:b/>
          <w:bCs/>
          <w:color w:val="000000" w:themeColor="text1"/>
          <w:sz w:val="21"/>
          <w:szCs w:val="21"/>
          <w:highlight w:val="none"/>
          <w:lang w:val="zh-CN"/>
          <w14:textFill>
            <w14:solidFill>
              <w14:schemeClr w14:val="tx1"/>
            </w14:solidFill>
          </w14:textFill>
        </w:rPr>
        <w:t>注：实际生产企业随时根据市场需求调整产品包装规格、品种和供应量，按客户订单要求</w:t>
      </w:r>
      <w:r>
        <w:rPr>
          <w:rFonts w:hint="eastAsia" w:cs="仿宋"/>
          <w:b/>
          <w:bCs/>
          <w:color w:val="000000" w:themeColor="text1"/>
          <w:sz w:val="21"/>
          <w:szCs w:val="21"/>
          <w:highlight w:val="none"/>
          <w:lang w:val="en-US" w:eastAsia="zh-CN"/>
          <w14:textFill>
            <w14:solidFill>
              <w14:schemeClr w14:val="tx1"/>
            </w14:solidFill>
          </w14:textFill>
        </w:rPr>
        <w:t>可</w:t>
      </w:r>
      <w:r>
        <w:rPr>
          <w:rFonts w:hint="eastAsia" w:ascii="仿宋" w:hAnsi="仿宋" w:eastAsia="仿宋" w:cs="仿宋"/>
          <w:b/>
          <w:bCs/>
          <w:color w:val="000000" w:themeColor="text1"/>
          <w:sz w:val="21"/>
          <w:szCs w:val="21"/>
          <w:highlight w:val="none"/>
          <w:lang w:val="zh-CN"/>
          <w14:textFill>
            <w14:solidFill>
              <w14:schemeClr w14:val="tx1"/>
            </w14:solidFill>
          </w14:textFill>
        </w:rPr>
        <w:t>生产</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黑青稞艾尔啤酒、黑青稞小麦白啤酒等</w:t>
      </w:r>
      <w:r>
        <w:rPr>
          <w:rFonts w:hint="eastAsia" w:cs="仿宋"/>
          <w:b/>
          <w:bCs/>
          <w:color w:val="000000" w:themeColor="text1"/>
          <w:sz w:val="21"/>
          <w:szCs w:val="21"/>
          <w:highlight w:val="none"/>
          <w:lang w:val="en-US" w:eastAsia="zh-CN"/>
          <w14:textFill>
            <w14:solidFill>
              <w14:schemeClr w14:val="tx1"/>
            </w14:solidFill>
          </w14:textFill>
        </w:rPr>
        <w:t>精酿啤酒</w:t>
      </w:r>
      <w:r>
        <w:rPr>
          <w:rFonts w:hint="eastAsia" w:ascii="仿宋" w:hAnsi="仿宋" w:eastAsia="仿宋" w:cs="仿宋"/>
          <w:b/>
          <w:bCs/>
          <w:color w:val="000000" w:themeColor="text1"/>
          <w:sz w:val="21"/>
          <w:szCs w:val="21"/>
          <w:highlight w:val="none"/>
          <w:lang w:val="en-US" w:eastAsia="zh-CN"/>
          <w14:textFill>
            <w14:solidFill>
              <w14:schemeClr w14:val="tx1"/>
            </w14:solidFill>
          </w14:textFill>
        </w:rPr>
        <w:t>产品</w:t>
      </w:r>
      <w:r>
        <w:rPr>
          <w:rFonts w:hint="eastAsia" w:ascii="仿宋" w:hAnsi="仿宋" w:eastAsia="仿宋" w:cs="仿宋"/>
          <w:b/>
          <w:bCs/>
          <w:color w:val="000000" w:themeColor="text1"/>
          <w:sz w:val="21"/>
          <w:szCs w:val="21"/>
          <w:highlight w:val="none"/>
          <w:lang w:val="zh-CN"/>
          <w14:textFill>
            <w14:solidFill>
              <w14:schemeClr w14:val="tx1"/>
            </w14:solidFill>
          </w14:textFill>
        </w:rPr>
        <w:t>。</w:t>
      </w:r>
    </w:p>
    <w:p>
      <w:pPr>
        <w:pStyle w:val="3"/>
        <w:bidi w:val="0"/>
        <w:rPr>
          <w:color w:val="000000" w:themeColor="text1"/>
          <w14:textFill>
            <w14:solidFill>
              <w14:schemeClr w14:val="tx1"/>
            </w14:solidFill>
          </w14:textFill>
        </w:rPr>
      </w:pPr>
      <w:bookmarkStart w:id="116" w:name="_Toc22034"/>
      <w:r>
        <w:rPr>
          <w:rFonts w:hint="eastAsia"/>
          <w:color w:val="000000" w:themeColor="text1"/>
          <w14:textFill>
            <w14:solidFill>
              <w14:schemeClr w14:val="tx1"/>
            </w14:solidFill>
          </w14:textFill>
        </w:rPr>
        <w:t>5.2</w:t>
      </w:r>
      <w:r>
        <w:rPr>
          <w:rFonts w:hint="eastAsia"/>
          <w:color w:val="000000" w:themeColor="text1"/>
          <w:lang w:eastAsia="zh-CN"/>
          <w14:textFill>
            <w14:solidFill>
              <w14:schemeClr w14:val="tx1"/>
            </w14:solidFill>
          </w14:textFill>
        </w:rPr>
        <w:t>土建</w:t>
      </w:r>
      <w:r>
        <w:rPr>
          <w:rFonts w:hint="eastAsia"/>
          <w:color w:val="000000" w:themeColor="text1"/>
          <w14:textFill>
            <w14:solidFill>
              <w14:schemeClr w14:val="tx1"/>
            </w14:solidFill>
          </w14:textFill>
        </w:rPr>
        <w:t>规模</w:t>
      </w:r>
      <w:bookmarkEnd w:id="116"/>
    </w:p>
    <w:p>
      <w:pPr>
        <w:ind w:firstLine="560"/>
        <w:rPr>
          <w:rFonts w:hint="eastAsia" w:ascii="仿宋" w:hAnsi="仿宋" w:eastAsia="仿宋" w:cs="仿宋"/>
          <w:bCs/>
          <w:color w:val="000000" w:themeColor="text1"/>
          <w:kern w:val="44"/>
          <w:szCs w:val="28"/>
          <w:highlight w:val="none"/>
          <w:lang w:eastAsia="zh-CN"/>
          <w14:textFill>
            <w14:solidFill>
              <w14:schemeClr w14:val="tx1"/>
            </w14:solidFill>
          </w14:textFill>
        </w:rPr>
      </w:pPr>
      <w:r>
        <w:rPr>
          <w:rFonts w:hint="eastAsia" w:ascii="仿宋" w:hAnsi="仿宋" w:eastAsia="仿宋" w:cs="仿宋"/>
          <w:bCs/>
          <w:color w:val="000000" w:themeColor="text1"/>
          <w:kern w:val="44"/>
          <w:szCs w:val="28"/>
          <w:highlight w:val="none"/>
          <w14:textFill>
            <w14:solidFill>
              <w14:schemeClr w14:val="tx1"/>
            </w14:solidFill>
          </w14:textFill>
        </w:rPr>
        <w:t>本项目</w:t>
      </w:r>
      <w:r>
        <w:rPr>
          <w:rFonts w:hint="eastAsia" w:ascii="仿宋" w:hAnsi="仿宋" w:eastAsia="仿宋" w:cs="仿宋"/>
          <w:bCs/>
          <w:color w:val="000000" w:themeColor="text1"/>
          <w:kern w:val="44"/>
          <w:szCs w:val="28"/>
          <w:highlight w:val="none"/>
          <w:lang w:eastAsia="zh-CN"/>
          <w14:textFill>
            <w14:solidFill>
              <w14:schemeClr w14:val="tx1"/>
            </w14:solidFill>
          </w14:textFill>
        </w:rPr>
        <w:t>利用现有的生产车间</w:t>
      </w:r>
      <w:r>
        <w:rPr>
          <w:rFonts w:hint="eastAsia" w:ascii="仿宋" w:hAnsi="仿宋" w:eastAsia="仿宋" w:cs="仿宋"/>
          <w:bCs/>
          <w:color w:val="000000" w:themeColor="text1"/>
          <w:kern w:val="44"/>
          <w:szCs w:val="28"/>
          <w:highlight w:val="none"/>
          <w:lang w:val="en-US" w:eastAsia="zh-CN"/>
          <w14:textFill>
            <w14:solidFill>
              <w14:schemeClr w14:val="tx1"/>
            </w14:solidFill>
          </w14:textFill>
        </w:rPr>
        <w:t>1栋</w:t>
      </w:r>
      <w:r>
        <w:rPr>
          <w:rFonts w:hint="eastAsia" w:cs="仿宋"/>
          <w:bCs/>
          <w:color w:val="000000" w:themeColor="text1"/>
          <w:kern w:val="44"/>
          <w:szCs w:val="28"/>
          <w:highlight w:val="none"/>
          <w:lang w:val="en-US" w:eastAsia="zh-CN"/>
          <w14:textFill>
            <w14:solidFill>
              <w14:schemeClr w14:val="tx1"/>
            </w14:solidFill>
          </w14:textFill>
        </w:rPr>
        <w:t>（1层）</w:t>
      </w:r>
      <w:r>
        <w:rPr>
          <w:rFonts w:hint="eastAsia" w:ascii="仿宋" w:hAnsi="仿宋" w:eastAsia="仿宋" w:cs="仿宋"/>
          <w:bCs/>
          <w:color w:val="000000" w:themeColor="text1"/>
          <w:kern w:val="44"/>
          <w:szCs w:val="28"/>
          <w:highlight w:val="none"/>
          <w:lang w:val="en-US" w:eastAsia="zh-CN"/>
          <w14:textFill>
            <w14:solidFill>
              <w14:schemeClr w14:val="tx1"/>
            </w14:solidFill>
          </w14:textFill>
        </w:rPr>
        <w:t>，</w:t>
      </w:r>
      <w:r>
        <w:rPr>
          <w:rFonts w:hint="eastAsia" w:ascii="仿宋" w:hAnsi="仿宋" w:eastAsia="仿宋" w:cs="仿宋"/>
          <w:bCs/>
          <w:color w:val="000000" w:themeColor="text1"/>
          <w:kern w:val="44"/>
          <w:szCs w:val="28"/>
          <w:highlight w:val="none"/>
          <w:lang w:eastAsia="zh-CN"/>
          <w14:textFill>
            <w14:solidFill>
              <w14:schemeClr w14:val="tx1"/>
            </w14:solidFill>
          </w14:textFill>
        </w:rPr>
        <w:t>车间</w:t>
      </w:r>
      <w:r>
        <w:rPr>
          <w:rFonts w:hint="eastAsia" w:ascii="仿宋" w:hAnsi="仿宋" w:eastAsia="仿宋" w:cs="仿宋"/>
          <w:bCs/>
          <w:color w:val="000000" w:themeColor="text1"/>
          <w:kern w:val="44"/>
          <w:szCs w:val="28"/>
          <w:highlight w:val="none"/>
          <w14:textFill>
            <w14:solidFill>
              <w14:schemeClr w14:val="tx1"/>
            </w14:solidFill>
          </w14:textFill>
        </w:rPr>
        <w:t>建筑面积</w:t>
      </w:r>
      <w:r>
        <w:rPr>
          <w:rFonts w:hint="eastAsia" w:ascii="仿宋" w:hAnsi="仿宋" w:eastAsia="仿宋" w:cs="仿宋"/>
          <w:bCs/>
          <w:color w:val="000000" w:themeColor="text1"/>
          <w:kern w:val="44"/>
          <w:szCs w:val="28"/>
          <w:highlight w:val="none"/>
          <w:lang w:val="en-US" w:eastAsia="zh-CN"/>
          <w14:textFill>
            <w14:solidFill>
              <w14:schemeClr w14:val="tx1"/>
            </w14:solidFill>
          </w14:textFill>
        </w:rPr>
        <w:t>1082.52</w:t>
      </w:r>
      <w:r>
        <w:rPr>
          <w:rFonts w:hint="eastAsia" w:ascii="仿宋" w:hAnsi="仿宋" w:eastAsia="仿宋" w:cs="仿宋"/>
          <w:bCs/>
          <w:color w:val="000000" w:themeColor="text1"/>
          <w:kern w:val="44"/>
          <w:szCs w:val="28"/>
          <w:highlight w:val="none"/>
          <w14:textFill>
            <w14:solidFill>
              <w14:schemeClr w14:val="tx1"/>
            </w14:solidFill>
          </w14:textFill>
        </w:rPr>
        <w:t>㎡</w:t>
      </w:r>
      <w:r>
        <w:rPr>
          <w:rFonts w:hint="eastAsia" w:ascii="仿宋" w:hAnsi="仿宋" w:eastAsia="仿宋" w:cs="仿宋"/>
          <w:bCs/>
          <w:color w:val="000000" w:themeColor="text1"/>
          <w:kern w:val="44"/>
          <w:szCs w:val="28"/>
          <w:highlight w:val="none"/>
          <w:lang w:eastAsia="zh-CN"/>
          <w14:textFill>
            <w14:solidFill>
              <w14:schemeClr w14:val="tx1"/>
            </w14:solidFill>
          </w14:textFill>
        </w:rPr>
        <w:t>，将</w:t>
      </w:r>
      <w:r>
        <w:rPr>
          <w:rFonts w:hint="eastAsia" w:cs="仿宋"/>
          <w:bCs/>
          <w:color w:val="000000" w:themeColor="text1"/>
          <w:kern w:val="44"/>
          <w:szCs w:val="28"/>
          <w:highlight w:val="none"/>
          <w:lang w:eastAsia="zh-CN"/>
          <w14:textFill>
            <w14:solidFill>
              <w14:schemeClr w14:val="tx1"/>
            </w14:solidFill>
          </w14:textFill>
        </w:rPr>
        <w:t>现有的车间进行装修改造，装修内容包括室内地面、墙面、墙体隔断、吊顶工程、门窗工程、室内给排水工程、暖通工程、电气工程等，以及设置参观走廊，配套建设室外工艺管道、给排水及电气工程。</w:t>
      </w:r>
    </w:p>
    <w:p>
      <w:pPr>
        <w:pStyle w:val="3"/>
        <w:bidi w:val="0"/>
        <w:rPr>
          <w:rFonts w:hint="eastAsia"/>
          <w:color w:val="000000" w:themeColor="text1"/>
          <w:lang w:val="en-US" w:eastAsia="zh-CN"/>
          <w14:textFill>
            <w14:solidFill>
              <w14:schemeClr w14:val="tx1"/>
            </w14:solidFill>
          </w14:textFill>
        </w:rPr>
      </w:pPr>
      <w:bookmarkStart w:id="117" w:name="_Toc30191"/>
      <w:r>
        <w:rPr>
          <w:rFonts w:hint="eastAsia"/>
          <w:color w:val="000000" w:themeColor="text1"/>
          <w:lang w:val="en-US" w:eastAsia="zh-CN"/>
          <w14:textFill>
            <w14:solidFill>
              <w14:schemeClr w14:val="tx1"/>
            </w14:solidFill>
          </w14:textFill>
        </w:rPr>
        <w:t>5.3设备规模</w:t>
      </w:r>
      <w:bookmarkEnd w:id="117"/>
    </w:p>
    <w:p>
      <w:pPr>
        <w:ind w:firstLine="560"/>
        <w:rPr>
          <w:rFonts w:hint="default"/>
          <w:color w:val="000000" w:themeColor="text1"/>
          <w:highlight w:val="none"/>
          <w:lang w:val="en-US" w:eastAsia="zh-CN"/>
          <w14:textFill>
            <w14:solidFill>
              <w14:schemeClr w14:val="tx1"/>
            </w14:solidFill>
          </w14:textFill>
        </w:rPr>
      </w:pPr>
      <w:r>
        <w:rPr>
          <w:rFonts w:hint="eastAsia"/>
          <w:color w:val="000000" w:themeColor="text1"/>
          <w:sz w:val="28"/>
          <w:szCs w:val="28"/>
          <w:lang w:val="zh-CN" w:eastAsia="zh-CN"/>
          <w14:textFill>
            <w14:solidFill>
              <w14:schemeClr w14:val="tx1"/>
            </w14:solidFill>
          </w14:textFill>
        </w:rPr>
        <w:t>根据生产及运营情况，本项目购置</w:t>
      </w:r>
      <w:r>
        <w:rPr>
          <w:rFonts w:hint="eastAsia" w:eastAsia="仿宋"/>
          <w:color w:val="000000" w:themeColor="text1"/>
          <w:sz w:val="28"/>
          <w:szCs w:val="28"/>
          <w:lang w:val="en-US" w:eastAsia="zh-CN"/>
          <w14:textFill>
            <w14:solidFill>
              <w14:schemeClr w14:val="tx1"/>
            </w14:solidFill>
          </w14:textFill>
        </w:rPr>
        <w:t>啤酒生产线1条，包括原料处理系统、糖化系统、发酵系统、酵母扩培系统、</w:t>
      </w:r>
      <w:r>
        <w:rPr>
          <w:rFonts w:hint="eastAsia"/>
          <w:color w:val="000000" w:themeColor="text1"/>
          <w:sz w:val="28"/>
          <w:szCs w:val="28"/>
          <w:lang w:val="en-US" w:eastAsia="zh-CN"/>
          <w14:textFill>
            <w14:solidFill>
              <w14:schemeClr w14:val="tx1"/>
            </w14:solidFill>
          </w14:textFill>
        </w:rPr>
        <w:t>工艺水处理系统</w:t>
      </w:r>
      <w:r>
        <w:rPr>
          <w:rFonts w:hint="eastAsia" w:eastAsia="仿宋"/>
          <w:color w:val="000000" w:themeColor="text1"/>
          <w:sz w:val="28"/>
          <w:szCs w:val="28"/>
          <w:lang w:val="en-US" w:eastAsia="zh-CN"/>
          <w14:textFill>
            <w14:solidFill>
              <w14:schemeClr w14:val="tx1"/>
            </w14:solidFill>
          </w14:textFill>
        </w:rPr>
        <w:t>、空压系统、能源系统、</w:t>
      </w:r>
      <w:r>
        <w:rPr>
          <w:rFonts w:hint="eastAsia"/>
          <w:color w:val="000000" w:themeColor="text1"/>
          <w:sz w:val="28"/>
          <w:szCs w:val="28"/>
          <w:lang w:val="en-US" w:eastAsia="zh-CN"/>
          <w14:textFill>
            <w14:solidFill>
              <w14:schemeClr w14:val="tx1"/>
            </w14:solidFill>
          </w14:textFill>
        </w:rPr>
        <w:t>灌装单元、化验系统、污水处理系统、智能化管理等。</w:t>
      </w:r>
    </w:p>
    <w:p>
      <w:pPr>
        <w:ind w:firstLine="560"/>
        <w:rPr>
          <w:rFonts w:hint="default"/>
          <w:color w:val="000000" w:themeColor="text1"/>
          <w:highlight w:val="none"/>
          <w:lang w:val="en-US" w:eastAsia="zh-CN"/>
          <w14:textFill>
            <w14:solidFill>
              <w14:schemeClr w14:val="tx1"/>
            </w14:solidFill>
          </w14:textFill>
        </w:rPr>
      </w:pPr>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Pr>
        <w:pStyle w:val="2"/>
        <w:numPr>
          <w:ilvl w:val="0"/>
          <w:numId w:val="2"/>
        </w:numPr>
        <w:bidi w:val="0"/>
        <w:rPr>
          <w:color w:val="000000" w:themeColor="text1"/>
          <w:highlight w:val="none"/>
          <w14:textFill>
            <w14:solidFill>
              <w14:schemeClr w14:val="tx1"/>
            </w14:solidFill>
          </w14:textFill>
        </w:rPr>
      </w:pPr>
      <w:bookmarkStart w:id="118" w:name="_Toc7435"/>
      <w:bookmarkStart w:id="119" w:name="_Toc130825278"/>
      <w:bookmarkStart w:id="120" w:name="_Toc7923"/>
      <w:bookmarkStart w:id="121" w:name="_Toc181757730"/>
      <w:bookmarkStart w:id="122" w:name="_Toc7645"/>
      <w:bookmarkStart w:id="123" w:name="_Toc2417"/>
      <w:bookmarkStart w:id="124" w:name="_Toc20548"/>
      <w:bookmarkStart w:id="125" w:name="_Toc22225"/>
      <w:bookmarkStart w:id="126" w:name="_Toc71617361"/>
      <w:bookmarkStart w:id="127" w:name="_Toc11468"/>
      <w:bookmarkStart w:id="128" w:name="_Toc13157"/>
      <w:bookmarkStart w:id="129" w:name="_Toc167889192"/>
      <w:r>
        <w:rPr>
          <w:rFonts w:hint="eastAsia"/>
          <w:color w:val="000000" w:themeColor="text1"/>
          <w:highlight w:val="none"/>
          <w:lang w:val="en-US" w:eastAsia="zh-CN"/>
          <w14:textFill>
            <w14:solidFill>
              <w14:schemeClr w14:val="tx1"/>
            </w14:solidFill>
          </w14:textFill>
        </w:rPr>
        <w:t xml:space="preserve"> </w:t>
      </w:r>
      <w:bookmarkStart w:id="130" w:name="_Toc25737"/>
      <w:r>
        <w:rPr>
          <w:rFonts w:hint="eastAsia"/>
          <w:color w:val="000000" w:themeColor="text1"/>
          <w:highlight w:val="none"/>
          <w14:textFill>
            <w14:solidFill>
              <w14:schemeClr w14:val="tx1"/>
            </w14:solidFill>
          </w14:textFill>
        </w:rPr>
        <w:t>技术方案、设备方案及工程方案</w:t>
      </w:r>
      <w:bookmarkEnd w:id="118"/>
      <w:bookmarkEnd w:id="130"/>
    </w:p>
    <w:p>
      <w:pPr>
        <w:pStyle w:val="3"/>
        <w:spacing w:before="192" w:after="216"/>
        <w:rPr>
          <w:color w:val="000000" w:themeColor="text1"/>
          <w:highlight w:val="none"/>
          <w14:textFill>
            <w14:solidFill>
              <w14:schemeClr w14:val="tx1"/>
            </w14:solidFill>
          </w14:textFill>
        </w:rPr>
      </w:pPr>
      <w:bookmarkStart w:id="131" w:name="_Toc22871"/>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技术方案</w:t>
      </w:r>
      <w:bookmarkEnd w:id="131"/>
    </w:p>
    <w:p>
      <w:pPr>
        <w:pStyle w:val="4"/>
        <w:ind w:firstLine="6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.1主要技术指标</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本项目生产的产品黑青稞</w:t>
      </w:r>
      <w:r>
        <w:rPr>
          <w:rFonts w:hint="eastAsia"/>
          <w:bCs/>
          <w:color w:val="000000" w:themeColor="text1"/>
          <w:kern w:val="44"/>
          <w:szCs w:val="28"/>
          <w:highlight w:val="none"/>
          <w:lang w:val="en-US" w:eastAsia="zh-CN"/>
          <w14:textFill>
            <w14:solidFill>
              <w14:schemeClr w14:val="tx1"/>
            </w14:solidFill>
          </w14:textFill>
        </w:rPr>
        <w:t>啤酒</w:t>
      </w:r>
      <w:r>
        <w:rPr>
          <w:rFonts w:hint="eastAsia"/>
          <w:bCs/>
          <w:color w:val="000000" w:themeColor="text1"/>
          <w:kern w:val="44"/>
          <w:szCs w:val="28"/>
          <w:highlight w:val="none"/>
          <w14:textFill>
            <w14:solidFill>
              <w14:schemeClr w14:val="tx1"/>
            </w14:solidFill>
          </w14:textFill>
        </w:rPr>
        <w:t>，依据工艺要求，对车间进行整体规划、设计和建设。</w:t>
      </w:r>
    </w:p>
    <w:p>
      <w:pPr>
        <w:spacing w:line="240" w:lineRule="auto"/>
        <w:ind w:firstLine="482"/>
        <w:jc w:val="center"/>
        <w:rPr>
          <w:rFonts w:hint="eastAsia" w:cs="宋体"/>
          <w:b/>
          <w:bCs/>
          <w:color w:val="000000" w:themeColor="text1"/>
          <w:sz w:val="24"/>
          <w:highlight w:val="none"/>
          <w:lang w:val="zh-CN"/>
          <w14:textFill>
            <w14:solidFill>
              <w14:schemeClr w14:val="tx1"/>
            </w14:solidFill>
          </w14:textFill>
        </w:rPr>
      </w:pPr>
      <w:r>
        <w:rPr>
          <w:rFonts w:hint="eastAsia" w:cs="宋体"/>
          <w:b/>
          <w:bCs/>
          <w:color w:val="000000" w:themeColor="text1"/>
          <w:sz w:val="24"/>
          <w:highlight w:val="none"/>
          <w:lang w:val="zh-CN"/>
          <w14:textFill>
            <w14:solidFill>
              <w14:schemeClr w14:val="tx1"/>
            </w14:solidFill>
          </w14:textFill>
        </w:rPr>
        <w:t>主要技术指标表</w:t>
      </w:r>
    </w:p>
    <w:p>
      <w:pPr>
        <w:spacing w:line="240" w:lineRule="auto"/>
        <w:ind w:firstLine="0" w:firstLineChars="0"/>
        <w:jc w:val="left"/>
        <w:rPr>
          <w:rFonts w:hint="eastAsia" w:cs="宋体"/>
          <w:b/>
          <w:bCs/>
          <w:color w:val="000000" w:themeColor="text1"/>
          <w:sz w:val="21"/>
          <w:szCs w:val="21"/>
          <w:highlight w:val="none"/>
          <w:lang w:val="zh-CN"/>
          <w14:textFill>
            <w14:solidFill>
              <w14:schemeClr w14:val="tx1"/>
            </w14:solidFill>
          </w14:textFill>
        </w:rPr>
      </w:pPr>
      <w:r>
        <w:rPr>
          <w:rFonts w:hint="eastAsia" w:cs="宋体"/>
          <w:b/>
          <w:bCs/>
          <w:color w:val="000000" w:themeColor="text1"/>
          <w:sz w:val="21"/>
          <w:szCs w:val="21"/>
          <w:highlight w:val="none"/>
          <w:lang w:val="zh-CN"/>
          <w14:textFill>
            <w14:solidFill>
              <w14:schemeClr w14:val="tx1"/>
            </w14:solidFill>
          </w14:textFill>
        </w:rPr>
        <w:t>表6-1</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3214"/>
        <w:gridCol w:w="840"/>
        <w:gridCol w:w="1748"/>
        <w:gridCol w:w="202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517" w:type="pct"/>
            <w:gridSpan w:val="2"/>
            <w:vAlign w:val="center"/>
          </w:tcPr>
          <w:p>
            <w:pPr>
              <w:autoSpaceDN w:val="0"/>
              <w:spacing w:line="240" w:lineRule="auto"/>
              <w:ind w:firstLine="0" w:firstLineChars="0"/>
              <w:jc w:val="center"/>
              <w:textAlignment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项目名称</w:t>
            </w:r>
          </w:p>
        </w:tc>
        <w:tc>
          <w:tcPr>
            <w:tcW w:w="452" w:type="pct"/>
            <w:vAlign w:val="center"/>
          </w:tcPr>
          <w:p>
            <w:pPr>
              <w:autoSpaceDN w:val="0"/>
              <w:spacing w:line="240" w:lineRule="auto"/>
              <w:ind w:firstLine="0" w:firstLineChars="0"/>
              <w:jc w:val="center"/>
              <w:textAlignment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单位</w:t>
            </w:r>
          </w:p>
        </w:tc>
        <w:tc>
          <w:tcPr>
            <w:tcW w:w="941" w:type="pct"/>
            <w:vAlign w:val="center"/>
          </w:tcPr>
          <w:p>
            <w:pPr>
              <w:autoSpaceDN w:val="0"/>
              <w:spacing w:line="240" w:lineRule="auto"/>
              <w:ind w:firstLine="0" w:firstLineChars="0"/>
              <w:jc w:val="center"/>
              <w:textAlignment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指标</w:t>
            </w:r>
          </w:p>
        </w:tc>
        <w:tc>
          <w:tcPr>
            <w:tcW w:w="1088" w:type="pct"/>
            <w:vAlign w:val="center"/>
          </w:tcPr>
          <w:p>
            <w:pPr>
              <w:autoSpaceDN w:val="0"/>
              <w:spacing w:line="240" w:lineRule="auto"/>
              <w:ind w:firstLine="0" w:firstLineChars="0"/>
              <w:jc w:val="center"/>
              <w:textAlignment w:val="center"/>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7" w:type="pct"/>
            <w:vMerge w:val="restar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生产规模</w:t>
            </w:r>
          </w:p>
        </w:tc>
        <w:tc>
          <w:tcPr>
            <w:tcW w:w="1730"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黑青稞12°P拉格啤酒</w:t>
            </w:r>
          </w:p>
        </w:tc>
        <w:tc>
          <w:tcPr>
            <w:tcW w:w="452" w:type="pct"/>
            <w:vAlign w:val="center"/>
          </w:tcPr>
          <w:p>
            <w:pPr>
              <w:autoSpaceDN w:val="0"/>
              <w:spacing w:line="240" w:lineRule="auto"/>
              <w:ind w:firstLine="0" w:firstLineChars="0"/>
              <w:jc w:val="center"/>
              <w:textAlignment w:val="center"/>
              <w:rPr>
                <w:rFonts w:hint="eastAsia" w:eastAsia="仿宋"/>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t</w:t>
            </w:r>
          </w:p>
        </w:tc>
        <w:tc>
          <w:tcPr>
            <w:tcW w:w="941" w:type="pct"/>
            <w:vAlign w:val="center"/>
          </w:tcPr>
          <w:p>
            <w:pPr>
              <w:autoSpaceDN w:val="0"/>
              <w:spacing w:line="240" w:lineRule="auto"/>
              <w:ind w:firstLine="0" w:firstLineChars="0"/>
              <w:jc w:val="center"/>
              <w:textAlignment w:val="center"/>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3000</w:t>
            </w:r>
          </w:p>
        </w:tc>
        <w:tc>
          <w:tcPr>
            <w:tcW w:w="1088"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87" w:type="pct"/>
            <w:vMerge w:val="continue"/>
            <w:tcBorders>
              <w:bottom w:val="single" w:color="auto" w:sz="4" w:space="0"/>
            </w:tcBorders>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p>
        </w:tc>
        <w:tc>
          <w:tcPr>
            <w:tcW w:w="1730" w:type="pct"/>
            <w:tcBorders>
              <w:bottom w:val="single" w:color="auto" w:sz="4" w:space="0"/>
            </w:tcBorders>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黑青稞啤酒（13.5°P黑啤）</w:t>
            </w:r>
          </w:p>
        </w:tc>
        <w:tc>
          <w:tcPr>
            <w:tcW w:w="452" w:type="pct"/>
            <w:vAlign w:val="center"/>
          </w:tcPr>
          <w:p>
            <w:pPr>
              <w:autoSpaceDN w:val="0"/>
              <w:spacing w:line="240" w:lineRule="auto"/>
              <w:ind w:firstLine="0" w:firstLineChars="0"/>
              <w:jc w:val="center"/>
              <w:textAlignment w:val="center"/>
              <w:rPr>
                <w:rFonts w:hint="eastAsia" w:eastAsia="仿宋"/>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t</w:t>
            </w:r>
          </w:p>
        </w:tc>
        <w:tc>
          <w:tcPr>
            <w:tcW w:w="941" w:type="pct"/>
            <w:vAlign w:val="center"/>
          </w:tcPr>
          <w:p>
            <w:pPr>
              <w:autoSpaceDN w:val="0"/>
              <w:spacing w:line="240" w:lineRule="auto"/>
              <w:ind w:firstLine="0" w:firstLineChars="0"/>
              <w:jc w:val="center"/>
              <w:textAlignment w:val="center"/>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2000</w:t>
            </w:r>
          </w:p>
        </w:tc>
        <w:tc>
          <w:tcPr>
            <w:tcW w:w="1088"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517" w:type="pct"/>
            <w:gridSpan w:val="2"/>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年生产天数</w:t>
            </w:r>
          </w:p>
        </w:tc>
        <w:tc>
          <w:tcPr>
            <w:tcW w:w="452"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天</w:t>
            </w:r>
          </w:p>
        </w:tc>
        <w:tc>
          <w:tcPr>
            <w:tcW w:w="2030" w:type="pct"/>
            <w:gridSpan w:val="2"/>
            <w:vAlign w:val="center"/>
          </w:tcPr>
          <w:p>
            <w:pPr>
              <w:autoSpaceDN w:val="0"/>
              <w:spacing w:line="240" w:lineRule="auto"/>
              <w:ind w:firstLine="0" w:firstLineChars="0"/>
              <w:jc w:val="center"/>
              <w:textAlignment w:val="center"/>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517" w:type="pct"/>
            <w:gridSpan w:val="2"/>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生产班次</w:t>
            </w:r>
          </w:p>
        </w:tc>
        <w:tc>
          <w:tcPr>
            <w:tcW w:w="452"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班次</w:t>
            </w:r>
          </w:p>
        </w:tc>
        <w:tc>
          <w:tcPr>
            <w:tcW w:w="2030" w:type="pct"/>
            <w:gridSpan w:val="2"/>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517" w:type="pct"/>
            <w:gridSpan w:val="2"/>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产品合格率</w:t>
            </w:r>
          </w:p>
        </w:tc>
        <w:tc>
          <w:tcPr>
            <w:tcW w:w="452" w:type="pct"/>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w:t>
            </w:r>
          </w:p>
        </w:tc>
        <w:tc>
          <w:tcPr>
            <w:tcW w:w="2030" w:type="pct"/>
            <w:gridSpan w:val="2"/>
            <w:vAlign w:val="center"/>
          </w:tcPr>
          <w:p>
            <w:pPr>
              <w:autoSpaceDN w:val="0"/>
              <w:spacing w:line="240" w:lineRule="auto"/>
              <w:ind w:firstLine="0" w:firstLineChars="0"/>
              <w:jc w:val="center"/>
              <w:textAlignment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100</w:t>
            </w:r>
          </w:p>
        </w:tc>
      </w:tr>
    </w:tbl>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黑</w:t>
      </w:r>
      <w:r>
        <w:rPr>
          <w:rFonts w:hint="eastAsia"/>
          <w:color w:val="000000" w:themeColor="text1"/>
          <w:highlight w:val="none"/>
          <w14:textFill>
            <w14:solidFill>
              <w14:schemeClr w14:val="tx1"/>
            </w14:solidFill>
          </w14:textFill>
        </w:rPr>
        <w:t>青稞</w:t>
      </w:r>
      <w:r>
        <w:rPr>
          <w:rFonts w:hint="eastAsia"/>
          <w:color w:val="000000" w:themeColor="text1"/>
          <w:highlight w:val="none"/>
          <w:lang w:eastAsia="zh-CN"/>
          <w14:textFill>
            <w14:solidFill>
              <w14:schemeClr w14:val="tx1"/>
            </w14:solidFill>
          </w14:textFill>
        </w:rPr>
        <w:t>啤酒生产</w:t>
      </w:r>
      <w:r>
        <w:rPr>
          <w:rFonts w:hint="eastAsia"/>
          <w:color w:val="000000" w:themeColor="text1"/>
          <w:highlight w:val="none"/>
          <w14:textFill>
            <w14:solidFill>
              <w14:schemeClr w14:val="tx1"/>
            </w14:solidFill>
          </w14:textFill>
        </w:rPr>
        <w:t>技术方案</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（1）原材料控制</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lang w:val="zh-CN"/>
          <w14:textFill>
            <w14:solidFill>
              <w14:schemeClr w14:val="tx1"/>
            </w14:solidFill>
          </w14:textFill>
        </w:rPr>
        <w:t>黑青稞符合《裸大麦》（GB/T11760-2008）要求。青稞原粮容重≥750g/</w:t>
      </w:r>
      <w:r>
        <w:rPr>
          <w:rFonts w:hint="eastAsia"/>
          <w:bCs/>
          <w:color w:val="000000" w:themeColor="text1"/>
          <w:kern w:val="44"/>
          <w:szCs w:val="28"/>
          <w:highlight w:val="none"/>
          <w:lang w:val="en-US" w:eastAsia="zh-CN"/>
          <w14:textFill>
            <w14:solidFill>
              <w14:schemeClr w14:val="tx1"/>
            </w14:solidFill>
          </w14:textFill>
        </w:rPr>
        <w:t>L，</w:t>
      </w:r>
      <w:r>
        <w:rPr>
          <w:rFonts w:hint="eastAsia"/>
          <w:bCs/>
          <w:color w:val="000000" w:themeColor="text1"/>
          <w:kern w:val="44"/>
          <w:szCs w:val="28"/>
          <w:highlight w:val="none"/>
          <w:lang w:val="zh-CN"/>
          <w14:textFill>
            <w14:solidFill>
              <w14:schemeClr w14:val="tx1"/>
            </w14:solidFill>
          </w14:textFill>
        </w:rPr>
        <w:t>水份≤14.0/%，不完善粒≤5.0/%，杂质≤1.0/%，色泽、气味正常。</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（2）主要工艺流程</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1）原料处理工段</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将麦芽倒入投料坑，由机械输送进入进行去石、除杂、除铁，秤量后进入麦芽暂贮箱，然后进入麦芽湿粉碎机进行粉碎，粉碎完毕后麦芽浆泵入糖化锅。</w:t>
      </w:r>
      <w:r>
        <w:rPr>
          <w:rFonts w:hint="eastAsia"/>
          <w:bCs/>
          <w:color w:val="000000" w:themeColor="text1"/>
          <w:kern w:val="44"/>
          <w:szCs w:val="28"/>
          <w:highlight w:val="none"/>
          <w:lang w:eastAsia="zh-CN"/>
          <w14:textFill>
            <w14:solidFill>
              <w14:schemeClr w14:val="tx1"/>
            </w14:solidFill>
          </w14:textFill>
        </w:rPr>
        <w:t>青稞</w:t>
      </w:r>
      <w:r>
        <w:rPr>
          <w:rFonts w:hint="eastAsia"/>
          <w:bCs/>
          <w:color w:val="000000" w:themeColor="text1"/>
          <w:kern w:val="44"/>
          <w:szCs w:val="28"/>
          <w:highlight w:val="none"/>
          <w14:textFill>
            <w14:solidFill>
              <w14:schemeClr w14:val="tx1"/>
            </w14:solidFill>
          </w14:textFill>
        </w:rPr>
        <w:t>用类似麦芽的处理流程得到</w:t>
      </w:r>
      <w:r>
        <w:rPr>
          <w:rFonts w:hint="eastAsia"/>
          <w:bCs/>
          <w:color w:val="000000" w:themeColor="text1"/>
          <w:kern w:val="44"/>
          <w:szCs w:val="28"/>
          <w:highlight w:val="none"/>
          <w:lang w:eastAsia="zh-CN"/>
          <w14:textFill>
            <w14:solidFill>
              <w14:schemeClr w14:val="tx1"/>
            </w14:solidFill>
          </w14:textFill>
        </w:rPr>
        <w:t>青稞浆</w:t>
      </w:r>
      <w:r>
        <w:rPr>
          <w:rFonts w:hint="eastAsia"/>
          <w:bCs/>
          <w:color w:val="000000" w:themeColor="text1"/>
          <w:kern w:val="44"/>
          <w:szCs w:val="28"/>
          <w:highlight w:val="none"/>
          <w14:textFill>
            <w14:solidFill>
              <w14:schemeClr w14:val="tx1"/>
            </w14:solidFill>
          </w14:textFill>
        </w:rPr>
        <w:t>泵入糊化锅。</w:t>
      </w:r>
    </w:p>
    <w:p>
      <w:pPr>
        <w:ind w:firstLine="560"/>
        <w:rPr>
          <w:rFonts w:hint="default"/>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原料仓库内的大麦芽和青稞分别从原料仓由机械输送系统经去石、除杂、除铁，自动称量后送到湿粉碎工段。</w:t>
      </w:r>
      <w:r>
        <w:rPr>
          <w:rFonts w:hint="default"/>
          <w:bCs/>
          <w:color w:val="000000" w:themeColor="text1"/>
          <w:kern w:val="44"/>
          <w:szCs w:val="28"/>
          <w:highlight w:val="none"/>
          <w14:textFill>
            <w14:solidFill>
              <w14:schemeClr w14:val="tx1"/>
            </w14:solidFill>
          </w14:textFill>
        </w:rPr>
        <w:t>原料处理工段生产工艺流程简图见图</w:t>
      </w:r>
      <w:r>
        <w:rPr>
          <w:rFonts w:hint="eastAsia"/>
          <w:bCs/>
          <w:color w:val="000000" w:themeColor="text1"/>
          <w:kern w:val="44"/>
          <w:szCs w:val="28"/>
          <w:highlight w:val="none"/>
          <w:lang w:val="en-US" w:eastAsia="zh-CN"/>
          <w14:textFill>
            <w14:solidFill>
              <w14:schemeClr w14:val="tx1"/>
            </w14:solidFill>
          </w14:textFill>
        </w:rPr>
        <w:t>6</w:t>
      </w:r>
      <w:r>
        <w:rPr>
          <w:rFonts w:hint="default"/>
          <w:bCs/>
          <w:color w:val="000000" w:themeColor="text1"/>
          <w:kern w:val="44"/>
          <w:szCs w:val="28"/>
          <w:highlight w:val="none"/>
          <w:lang w:val="en-US" w:eastAsia="zh-CN"/>
          <w14:textFill>
            <w14:solidFill>
              <w14:schemeClr w14:val="tx1"/>
            </w14:solidFill>
          </w14:textFill>
        </w:rPr>
        <w:t>-2</w:t>
      </w:r>
      <w:r>
        <w:rPr>
          <w:rFonts w:hint="default"/>
          <w:bCs/>
          <w:color w:val="000000" w:themeColor="text1"/>
          <w:kern w:val="44"/>
          <w:szCs w:val="28"/>
          <w:highlight w:val="none"/>
          <w14:textFill>
            <w14:solidFill>
              <w14:schemeClr w14:val="tx1"/>
            </w14:solidFill>
          </w14:textFill>
        </w:rPr>
        <w:t>。</w:t>
      </w:r>
    </w:p>
    <w:p>
      <w:pPr>
        <w:spacing w:line="360" w:lineRule="auto"/>
        <w:ind w:left="0" w:leftChars="0" w:firstLine="0" w:firstLineChars="0"/>
        <w:jc w:val="both"/>
        <w:textAlignment w:val="center"/>
        <w:rPr>
          <w:rFonts w:hint="eastAsia" w:hAnsi="宋体" w:cs="宋体"/>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5511165" cy="3829050"/>
            <wp:effectExtent l="0" t="0" r="1333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5511165" cy="38290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val="0"/>
          <w:color w:val="000000" w:themeColor="text1"/>
          <w:sz w:val="24"/>
          <w:szCs w:val="24"/>
          <w14:textFill>
            <w14:solidFill>
              <w14:schemeClr w14:val="tx1"/>
            </w14:solidFill>
          </w14:textFill>
        </w:rPr>
      </w:pPr>
      <w:r>
        <w:rPr>
          <w:rFonts w:hint="eastAsia" w:ascii="仿宋" w:hAnsi="仿宋" w:eastAsia="仿宋" w:cs="仿宋"/>
          <w:b/>
          <w:bCs w:val="0"/>
          <w:color w:val="000000" w:themeColor="text1"/>
          <w:kern w:val="0"/>
          <w:sz w:val="24"/>
          <w:szCs w:val="24"/>
          <w14:textFill>
            <w14:solidFill>
              <w14:schemeClr w14:val="tx1"/>
            </w14:solidFill>
          </w14:textFill>
        </w:rPr>
        <w:t>图</w:t>
      </w:r>
      <w:r>
        <w:rPr>
          <w:rFonts w:hint="eastAsia" w:ascii="仿宋" w:hAnsi="仿宋" w:eastAsia="仿宋" w:cs="仿宋"/>
          <w:b/>
          <w:bCs w:val="0"/>
          <w:color w:val="000000" w:themeColor="text1"/>
          <w:kern w:val="0"/>
          <w:sz w:val="24"/>
          <w:szCs w:val="24"/>
          <w:lang w:val="en-US" w:eastAsia="zh-CN"/>
          <w14:textFill>
            <w14:solidFill>
              <w14:schemeClr w14:val="tx1"/>
            </w14:solidFill>
          </w14:textFill>
        </w:rPr>
        <w:t>6-</w:t>
      </w:r>
      <w:r>
        <w:rPr>
          <w:rFonts w:hint="eastAsia" w:cs="仿宋"/>
          <w:b/>
          <w:bCs w:val="0"/>
          <w:color w:val="000000" w:themeColor="text1"/>
          <w:kern w:val="0"/>
          <w:sz w:val="24"/>
          <w:szCs w:val="24"/>
          <w:lang w:val="en-US" w:eastAsia="zh-CN"/>
          <w14:textFill>
            <w14:solidFill>
              <w14:schemeClr w14:val="tx1"/>
            </w14:solidFill>
          </w14:textFill>
        </w:rPr>
        <w:t>1</w:t>
      </w:r>
      <w:r>
        <w:rPr>
          <w:rFonts w:hint="eastAsia" w:ascii="仿宋" w:hAnsi="仿宋" w:eastAsia="仿宋" w:cs="仿宋"/>
          <w:b/>
          <w:bCs w:val="0"/>
          <w:color w:val="000000" w:themeColor="text1"/>
          <w:kern w:val="0"/>
          <w:sz w:val="24"/>
          <w:szCs w:val="24"/>
          <w:lang w:val="en-US" w:eastAsia="zh-CN"/>
          <w14:textFill>
            <w14:solidFill>
              <w14:schemeClr w14:val="tx1"/>
            </w14:solidFill>
          </w14:textFill>
        </w:rPr>
        <w:t xml:space="preserve"> </w:t>
      </w:r>
      <w:r>
        <w:rPr>
          <w:rFonts w:hint="eastAsia" w:ascii="仿宋" w:hAnsi="仿宋" w:eastAsia="仿宋" w:cs="仿宋"/>
          <w:b/>
          <w:bCs w:val="0"/>
          <w:color w:val="000000" w:themeColor="text1"/>
          <w:kern w:val="0"/>
          <w:sz w:val="24"/>
          <w:szCs w:val="24"/>
          <w14:textFill>
            <w14:solidFill>
              <w14:schemeClr w14:val="tx1"/>
            </w14:solidFill>
          </w14:textFill>
        </w:rPr>
        <w:t>原料处理工段生产工艺流程简图</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2）糖化工段</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糖化：麦芽经湿粉碎机粉碎后送至糖化锅进行糖化。</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过滤：糖化完成后，将糖化醪泵入过滤槽进行麦汁过滤，过滤开始时，麦汁由泵循环，直到清彻透明，然后泵入煮沸锅。麦糟进入麦糟暂仓后输送至麦糟贮仓。</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煮沸：麦汁由泵入煮沸锅内进行煮沸，煮沸过程分2-3次添加酒花，煮沸强度控制在8-10%/h。煮沸结束后，将热麦汁送至旋涡沉淀槽。</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热凝固物的分离及麦汁冷却：进入旋涡沉淀槽的热麦汁经过30min的沉淀后，泵入板式热交换器进行冷却，冷却结束后，将冷麦汁送至发酵车间。</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糖化工段生产工艺流程简图见图</w:t>
      </w:r>
      <w:r>
        <w:rPr>
          <w:rFonts w:hint="eastAsia"/>
          <w:bCs/>
          <w:color w:val="000000" w:themeColor="text1"/>
          <w:kern w:val="44"/>
          <w:szCs w:val="28"/>
          <w:highlight w:val="none"/>
          <w:lang w:val="en-US" w:eastAsia="zh-CN"/>
          <w14:textFill>
            <w14:solidFill>
              <w14:schemeClr w14:val="tx1"/>
            </w14:solidFill>
          </w14:textFill>
        </w:rPr>
        <w:t>6</w:t>
      </w:r>
      <w:r>
        <w:rPr>
          <w:rFonts w:hint="default"/>
          <w:bCs/>
          <w:color w:val="000000" w:themeColor="text1"/>
          <w:kern w:val="44"/>
          <w:szCs w:val="28"/>
          <w:highlight w:val="none"/>
          <w:lang w:val="en-US" w:eastAsia="zh-CN"/>
          <w14:textFill>
            <w14:solidFill>
              <w14:schemeClr w14:val="tx1"/>
            </w14:solidFill>
          </w14:textFill>
        </w:rPr>
        <w:t>-3</w:t>
      </w:r>
      <w:r>
        <w:rPr>
          <w:rFonts w:hint="default"/>
          <w:bCs/>
          <w:color w:val="000000" w:themeColor="text1"/>
          <w:kern w:val="44"/>
          <w:szCs w:val="28"/>
          <w:highlight w:val="none"/>
          <w14:textFill>
            <w14:solidFill>
              <w14:schemeClr w14:val="tx1"/>
            </w14:solidFill>
          </w14:textFill>
        </w:rPr>
        <w:t>。</w:t>
      </w:r>
    </w:p>
    <w:p>
      <w:pPr>
        <w:spacing w:line="360" w:lineRule="auto"/>
        <w:ind w:left="0" w:leftChars="0" w:firstLine="0" w:firstLineChars="0"/>
        <w:jc w:val="both"/>
        <w:textAlignment w:val="center"/>
        <w:rPr>
          <w:rFonts w:hint="eastAsia" w:hAnsi="宋体" w:eastAsia="宋体" w:cs="宋体"/>
          <w:color w:val="000000" w:themeColor="text1"/>
          <w:sz w:val="24"/>
          <w:lang w:eastAsia="zh-CN"/>
          <w14:textFill>
            <w14:solidFill>
              <w14:schemeClr w14:val="tx1"/>
            </w14:solidFill>
          </w14:textFill>
        </w:rPr>
      </w:pPr>
      <w:r>
        <w:rPr>
          <w:rFonts w:hint="eastAsia" w:hAnsi="宋体" w:eastAsia="宋体" w:cs="宋体"/>
          <w:color w:val="000000" w:themeColor="text1"/>
          <w:sz w:val="24"/>
          <w:lang w:eastAsia="zh-CN"/>
          <w14:textFill>
            <w14:solidFill>
              <w14:schemeClr w14:val="tx1"/>
            </w14:solidFill>
          </w14:textFill>
        </w:rPr>
        <w:drawing>
          <wp:inline distT="0" distB="0" distL="114300" distR="114300">
            <wp:extent cx="5482590" cy="3796030"/>
            <wp:effectExtent l="0" t="0" r="3810" b="13970"/>
            <wp:docPr id="34"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图片1"/>
                    <pic:cNvPicPr>
                      <a:picLocks noChangeAspect="1"/>
                    </pic:cNvPicPr>
                  </pic:nvPicPr>
                  <pic:blipFill>
                    <a:blip r:embed="rId13"/>
                    <a:stretch>
                      <a:fillRect/>
                    </a:stretch>
                  </pic:blipFill>
                  <pic:spPr>
                    <a:xfrm>
                      <a:off x="0" y="0"/>
                      <a:ext cx="5482590" cy="3796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 w:hAnsi="仿宋" w:eastAsia="仿宋" w:cs="仿宋"/>
          <w:b/>
          <w:bCs w:val="0"/>
          <w:color w:val="000000" w:themeColor="text1"/>
          <w:kern w:val="0"/>
          <w:sz w:val="24"/>
          <w:szCs w:val="24"/>
          <w14:textFill>
            <w14:solidFill>
              <w14:schemeClr w14:val="tx1"/>
            </w14:solidFill>
          </w14:textFill>
        </w:rPr>
      </w:pPr>
      <w:r>
        <w:rPr>
          <w:rFonts w:hint="default" w:ascii="仿宋" w:hAnsi="仿宋" w:eastAsia="仿宋" w:cs="仿宋"/>
          <w:b/>
          <w:bCs w:val="0"/>
          <w:color w:val="000000" w:themeColor="text1"/>
          <w:kern w:val="0"/>
          <w:sz w:val="24"/>
          <w:szCs w:val="24"/>
          <w14:textFill>
            <w14:solidFill>
              <w14:schemeClr w14:val="tx1"/>
            </w14:solidFill>
          </w14:textFill>
        </w:rPr>
        <w:t>图</w:t>
      </w:r>
      <w:r>
        <w:rPr>
          <w:rFonts w:hint="eastAsia" w:ascii="仿宋" w:hAnsi="仿宋" w:eastAsia="仿宋" w:cs="仿宋"/>
          <w:b/>
          <w:bCs w:val="0"/>
          <w:color w:val="000000" w:themeColor="text1"/>
          <w:kern w:val="0"/>
          <w:sz w:val="24"/>
          <w:szCs w:val="24"/>
          <w:lang w:val="en-US" w:eastAsia="zh-CN"/>
          <w14:textFill>
            <w14:solidFill>
              <w14:schemeClr w14:val="tx1"/>
            </w14:solidFill>
          </w14:textFill>
        </w:rPr>
        <w:t>6</w:t>
      </w:r>
      <w:r>
        <w:rPr>
          <w:rFonts w:hint="default" w:ascii="仿宋" w:hAnsi="仿宋" w:eastAsia="仿宋" w:cs="仿宋"/>
          <w:b/>
          <w:bCs w:val="0"/>
          <w:color w:val="000000" w:themeColor="text1"/>
          <w:kern w:val="0"/>
          <w:sz w:val="24"/>
          <w:szCs w:val="24"/>
          <w:lang w:val="en-US" w:eastAsia="zh-CN"/>
          <w14:textFill>
            <w14:solidFill>
              <w14:schemeClr w14:val="tx1"/>
            </w14:solidFill>
          </w14:textFill>
        </w:rPr>
        <w:t>-</w:t>
      </w:r>
      <w:r>
        <w:rPr>
          <w:rFonts w:hint="eastAsia" w:cs="仿宋"/>
          <w:b/>
          <w:bCs w:val="0"/>
          <w:color w:val="000000" w:themeColor="text1"/>
          <w:kern w:val="0"/>
          <w:sz w:val="24"/>
          <w:szCs w:val="24"/>
          <w:lang w:val="en-US" w:eastAsia="zh-CN"/>
          <w14:textFill>
            <w14:solidFill>
              <w14:schemeClr w14:val="tx1"/>
            </w14:solidFill>
          </w14:textFill>
        </w:rPr>
        <w:t xml:space="preserve">2 </w:t>
      </w:r>
      <w:r>
        <w:rPr>
          <w:rFonts w:hint="default" w:ascii="仿宋" w:hAnsi="仿宋" w:eastAsia="仿宋" w:cs="仿宋"/>
          <w:b/>
          <w:bCs w:val="0"/>
          <w:color w:val="000000" w:themeColor="text1"/>
          <w:kern w:val="0"/>
          <w:sz w:val="24"/>
          <w:szCs w:val="24"/>
          <w14:textFill>
            <w14:solidFill>
              <w14:schemeClr w14:val="tx1"/>
            </w14:solidFill>
          </w14:textFill>
        </w:rPr>
        <w:t>糖化工段生产工艺流程简图</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lang w:val="en-US" w:eastAsia="zh-CN"/>
          <w14:textFill>
            <w14:solidFill>
              <w14:schemeClr w14:val="tx1"/>
            </w14:solidFill>
          </w14:textFill>
        </w:rPr>
        <w:t>3</w:t>
      </w:r>
      <w:r>
        <w:rPr>
          <w:rFonts w:hint="eastAsia"/>
          <w:bCs/>
          <w:color w:val="000000" w:themeColor="text1"/>
          <w:kern w:val="44"/>
          <w:szCs w:val="28"/>
          <w:highlight w:val="none"/>
          <w:lang w:eastAsia="zh-CN"/>
          <w14:textFill>
            <w14:solidFill>
              <w14:schemeClr w14:val="tx1"/>
            </w14:solidFill>
          </w14:textFill>
        </w:rPr>
        <w:t>）</w:t>
      </w:r>
      <w:r>
        <w:rPr>
          <w:rFonts w:hint="eastAsia"/>
          <w:bCs/>
          <w:color w:val="000000" w:themeColor="text1"/>
          <w:kern w:val="44"/>
          <w:szCs w:val="28"/>
          <w:highlight w:val="none"/>
          <w14:textFill>
            <w14:solidFill>
              <w14:schemeClr w14:val="tx1"/>
            </w14:solidFill>
          </w14:textFill>
        </w:rPr>
        <w:t>发酵工段</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发酵：冷麦汁充氧后添加1%左右新鲜强壮酵母后送入锥形罐。麦汁进入锥形罐后，温度控制在8</w:t>
      </w:r>
      <w:r>
        <w:rPr>
          <w:rFonts w:hint="eastAsia"/>
          <w:bCs/>
          <w:color w:val="000000" w:themeColor="text1"/>
          <w:kern w:val="44"/>
          <w:szCs w:val="28"/>
          <w:highlight w:val="none"/>
          <w:lang w:val="en-US" w:eastAsia="zh-CN"/>
          <w14:textFill>
            <w14:solidFill>
              <w14:schemeClr w14:val="tx1"/>
            </w14:solidFill>
          </w14:textFill>
        </w:rPr>
        <w:t>-</w:t>
      </w:r>
      <w:r>
        <w:rPr>
          <w:rFonts w:hint="default"/>
          <w:bCs/>
          <w:color w:val="000000" w:themeColor="text1"/>
          <w:kern w:val="44"/>
          <w:szCs w:val="28"/>
          <w:highlight w:val="none"/>
          <w14:textFill>
            <w14:solidFill>
              <w14:schemeClr w14:val="tx1"/>
            </w14:solidFill>
          </w14:textFill>
        </w:rPr>
        <w:t>9℃进行发酵，保持此温度直到外观发酵度达到60%，然后自然升温至12℃，当糖度达到封罐糖度时封罐，封罐48小时后控制罐压至0.09MPa，排除酵母（12℃），待双乙酰和糖度达到要求后，在2</w:t>
      </w:r>
      <w:r>
        <w:rPr>
          <w:rFonts w:hint="eastAsia"/>
          <w:bCs/>
          <w:color w:val="000000" w:themeColor="text1"/>
          <w:kern w:val="44"/>
          <w:szCs w:val="28"/>
          <w:highlight w:val="none"/>
          <w:lang w:val="en-US" w:eastAsia="zh-CN"/>
          <w14:textFill>
            <w14:solidFill>
              <w14:schemeClr w14:val="tx1"/>
            </w14:solidFill>
          </w14:textFill>
        </w:rPr>
        <w:t>-</w:t>
      </w:r>
      <w:r>
        <w:rPr>
          <w:rFonts w:hint="default"/>
          <w:bCs/>
          <w:color w:val="000000" w:themeColor="text1"/>
          <w:kern w:val="44"/>
          <w:szCs w:val="28"/>
          <w:highlight w:val="none"/>
          <w14:textFill>
            <w14:solidFill>
              <w14:schemeClr w14:val="tx1"/>
            </w14:solidFill>
          </w14:textFill>
        </w:rPr>
        <w:t>3天内将料温将至-1℃，低温保持5</w:t>
      </w:r>
      <w:r>
        <w:rPr>
          <w:rFonts w:hint="eastAsia"/>
          <w:bCs/>
          <w:color w:val="000000" w:themeColor="text1"/>
          <w:kern w:val="44"/>
          <w:szCs w:val="28"/>
          <w:highlight w:val="none"/>
          <w:lang w:val="en-US" w:eastAsia="zh-CN"/>
          <w14:textFill>
            <w14:solidFill>
              <w14:schemeClr w14:val="tx1"/>
            </w14:solidFill>
          </w14:textFill>
        </w:rPr>
        <w:t>-</w:t>
      </w:r>
      <w:r>
        <w:rPr>
          <w:rFonts w:hint="default"/>
          <w:bCs/>
          <w:color w:val="000000" w:themeColor="text1"/>
          <w:kern w:val="44"/>
          <w:szCs w:val="28"/>
          <w:highlight w:val="none"/>
          <w14:textFill>
            <w14:solidFill>
              <w14:schemeClr w14:val="tx1"/>
            </w14:solidFill>
          </w14:textFill>
        </w:rPr>
        <w:t>8天，在此期间继续排除酵母2</w:t>
      </w:r>
      <w:r>
        <w:rPr>
          <w:rFonts w:hint="eastAsia"/>
          <w:bCs/>
          <w:color w:val="000000" w:themeColor="text1"/>
          <w:kern w:val="44"/>
          <w:szCs w:val="28"/>
          <w:highlight w:val="none"/>
          <w:lang w:val="en-US" w:eastAsia="zh-CN"/>
          <w14:textFill>
            <w14:solidFill>
              <w14:schemeClr w14:val="tx1"/>
            </w14:solidFill>
          </w14:textFill>
        </w:rPr>
        <w:t>-</w:t>
      </w:r>
      <w:r>
        <w:rPr>
          <w:rFonts w:hint="default"/>
          <w:bCs/>
          <w:color w:val="000000" w:themeColor="text1"/>
          <w:kern w:val="44"/>
          <w:szCs w:val="28"/>
          <w:highlight w:val="none"/>
          <w14:textFill>
            <w14:solidFill>
              <w14:schemeClr w14:val="tx1"/>
            </w14:solidFill>
          </w14:textFill>
        </w:rPr>
        <w:t>3次，整个发酵期为20天左右。前酵母期排出的CO</w:t>
      </w:r>
      <w:r>
        <w:rPr>
          <w:rFonts w:hint="default"/>
          <w:bCs/>
          <w:color w:val="000000" w:themeColor="text1"/>
          <w:kern w:val="44"/>
          <w:szCs w:val="28"/>
          <w:highlight w:val="none"/>
          <w:vertAlign w:val="subscript"/>
          <w14:textFill>
            <w14:solidFill>
              <w14:schemeClr w14:val="tx1"/>
            </w14:solidFill>
          </w14:textFill>
        </w:rPr>
        <w:t>2</w:t>
      </w:r>
      <w:r>
        <w:rPr>
          <w:rFonts w:hint="default"/>
          <w:bCs/>
          <w:color w:val="000000" w:themeColor="text1"/>
          <w:kern w:val="44"/>
          <w:szCs w:val="28"/>
          <w:highlight w:val="none"/>
          <w14:textFill>
            <w14:solidFill>
              <w14:schemeClr w14:val="tx1"/>
            </w14:solidFill>
          </w14:textFill>
        </w:rPr>
        <w:t>气体经气体站的CO</w:t>
      </w:r>
      <w:r>
        <w:rPr>
          <w:rFonts w:hint="default"/>
          <w:bCs/>
          <w:color w:val="000000" w:themeColor="text1"/>
          <w:kern w:val="44"/>
          <w:szCs w:val="28"/>
          <w:highlight w:val="none"/>
          <w:vertAlign w:val="subscript"/>
          <w14:textFill>
            <w14:solidFill>
              <w14:schemeClr w14:val="tx1"/>
            </w14:solidFill>
          </w14:textFill>
        </w:rPr>
        <w:t>2</w:t>
      </w:r>
      <w:r>
        <w:rPr>
          <w:rFonts w:hint="default"/>
          <w:bCs/>
          <w:color w:val="000000" w:themeColor="text1"/>
          <w:kern w:val="44"/>
          <w:szCs w:val="28"/>
          <w:highlight w:val="none"/>
          <w14:textFill>
            <w14:solidFill>
              <w14:schemeClr w14:val="tx1"/>
            </w14:solidFill>
          </w14:textFill>
        </w:rPr>
        <w:t>回收装置处理后储存待用。封罐后排出的酵母，根据酵母代数分别回收至酵母贮罐或废酵母罐。</w:t>
      </w:r>
    </w:p>
    <w:p>
      <w:pPr>
        <w:ind w:firstLine="560"/>
        <w:rPr>
          <w:rFonts w:hint="default"/>
          <w:bCs/>
          <w:color w:val="000000" w:themeColor="text1"/>
          <w:kern w:val="44"/>
          <w:szCs w:val="28"/>
          <w:highlight w:val="none"/>
          <w14:textFill>
            <w14:solidFill>
              <w14:schemeClr w14:val="tx1"/>
            </w14:solidFill>
          </w14:textFill>
        </w:rPr>
      </w:pPr>
      <w:r>
        <w:rPr>
          <w:rFonts w:hint="default"/>
          <w:bCs/>
          <w:color w:val="000000" w:themeColor="text1"/>
          <w:kern w:val="44"/>
          <w:szCs w:val="28"/>
          <w:highlight w:val="none"/>
          <w14:textFill>
            <w14:solidFill>
              <w14:schemeClr w14:val="tx1"/>
            </w14:solidFill>
          </w14:textFill>
        </w:rPr>
        <w:t>过滤贮存：发酵完毕后嫩啤酒经硅藻土过滤机、啤酒筒式精滤系统过滤，必要时可添加硅胶等添加剂，过滤后澄清啤酒可以经过高浓稀释装置与脱氧水混合，进入清酒罐待装。具体工艺流程见图</w:t>
      </w:r>
      <w:r>
        <w:rPr>
          <w:rFonts w:hint="eastAsia"/>
          <w:bCs/>
          <w:color w:val="000000" w:themeColor="text1"/>
          <w:kern w:val="44"/>
          <w:szCs w:val="28"/>
          <w:highlight w:val="none"/>
          <w:lang w:val="en-US" w:eastAsia="zh-CN"/>
          <w14:textFill>
            <w14:solidFill>
              <w14:schemeClr w14:val="tx1"/>
            </w14:solidFill>
          </w14:textFill>
        </w:rPr>
        <w:t>6</w:t>
      </w:r>
      <w:r>
        <w:rPr>
          <w:rFonts w:hint="default"/>
          <w:bCs/>
          <w:color w:val="000000" w:themeColor="text1"/>
          <w:kern w:val="44"/>
          <w:szCs w:val="28"/>
          <w:highlight w:val="none"/>
          <w:lang w:val="en-US" w:eastAsia="zh-CN"/>
          <w14:textFill>
            <w14:solidFill>
              <w14:schemeClr w14:val="tx1"/>
            </w14:solidFill>
          </w14:textFill>
        </w:rPr>
        <w:t>-4</w:t>
      </w:r>
      <w:r>
        <w:rPr>
          <w:rFonts w:hint="default"/>
          <w:bCs/>
          <w:color w:val="000000" w:themeColor="text1"/>
          <w:kern w:val="44"/>
          <w:szCs w:val="28"/>
          <w:highlight w:val="none"/>
          <w14:textFill>
            <w14:solidFill>
              <w14:schemeClr w14:val="tx1"/>
            </w14:solidFill>
          </w14:textFill>
        </w:rPr>
        <w:t>。</w:t>
      </w:r>
    </w:p>
    <w:p>
      <w:pPr>
        <w:spacing w:line="360" w:lineRule="auto"/>
        <w:ind w:left="0" w:leftChars="0" w:firstLine="0" w:firstLineChars="0"/>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25" o:spt="75" type="#_x0000_t75" style="height:289.4pt;width:440.15pt;" o:ole="t" filled="f" o:preferrelative="t" stroked="f" coordsize="21600,21600">
            <v:path/>
            <v:fill on="f" focussize="0,0"/>
            <v:stroke on="f"/>
            <v:imagedata r:id="rId15" o:title=""/>
            <o:lock v:ext="edit" aspectratio="t"/>
            <w10:wrap type="none"/>
            <w10:anchorlock/>
          </v:shape>
          <o:OLEObject Type="Embed" ProgID="Visio.Drawing.11" ShapeID="_x0000_i1025" DrawAspect="Content" ObjectID="_1468075725"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 w:hAnsi="仿宋" w:eastAsia="仿宋" w:cs="仿宋"/>
          <w:b/>
          <w:bCs w:val="0"/>
          <w:color w:val="000000" w:themeColor="text1"/>
          <w:kern w:val="0"/>
          <w:sz w:val="24"/>
          <w:szCs w:val="24"/>
          <w14:textFill>
            <w14:solidFill>
              <w14:schemeClr w14:val="tx1"/>
            </w14:solidFill>
          </w14:textFill>
        </w:rPr>
      </w:pPr>
      <w:r>
        <w:rPr>
          <w:rFonts w:hint="default" w:ascii="仿宋" w:hAnsi="仿宋" w:eastAsia="仿宋" w:cs="仿宋"/>
          <w:b/>
          <w:bCs w:val="0"/>
          <w:color w:val="000000" w:themeColor="text1"/>
          <w:kern w:val="0"/>
          <w:sz w:val="24"/>
          <w:szCs w:val="24"/>
          <w14:textFill>
            <w14:solidFill>
              <w14:schemeClr w14:val="tx1"/>
            </w14:solidFill>
          </w14:textFill>
        </w:rPr>
        <w:t>图</w:t>
      </w:r>
      <w:r>
        <w:rPr>
          <w:rFonts w:hint="eastAsia" w:ascii="仿宋" w:hAnsi="仿宋" w:eastAsia="仿宋" w:cs="仿宋"/>
          <w:b/>
          <w:bCs w:val="0"/>
          <w:color w:val="000000" w:themeColor="text1"/>
          <w:kern w:val="0"/>
          <w:sz w:val="24"/>
          <w:szCs w:val="24"/>
          <w:lang w:val="en-US" w:eastAsia="zh-CN"/>
          <w14:textFill>
            <w14:solidFill>
              <w14:schemeClr w14:val="tx1"/>
            </w14:solidFill>
          </w14:textFill>
        </w:rPr>
        <w:t>6</w:t>
      </w:r>
      <w:r>
        <w:rPr>
          <w:rFonts w:hint="default" w:ascii="仿宋" w:hAnsi="仿宋" w:eastAsia="仿宋" w:cs="仿宋"/>
          <w:b/>
          <w:bCs w:val="0"/>
          <w:color w:val="000000" w:themeColor="text1"/>
          <w:kern w:val="0"/>
          <w:sz w:val="24"/>
          <w:szCs w:val="24"/>
          <w:lang w:val="en-US" w:eastAsia="zh-CN"/>
          <w14:textFill>
            <w14:solidFill>
              <w14:schemeClr w14:val="tx1"/>
            </w14:solidFill>
          </w14:textFill>
        </w:rPr>
        <w:t>-</w:t>
      </w:r>
      <w:r>
        <w:rPr>
          <w:rFonts w:hint="eastAsia" w:cs="仿宋"/>
          <w:b/>
          <w:bCs w:val="0"/>
          <w:color w:val="000000" w:themeColor="text1"/>
          <w:kern w:val="0"/>
          <w:sz w:val="24"/>
          <w:szCs w:val="24"/>
          <w:lang w:val="en-US" w:eastAsia="zh-CN"/>
          <w14:textFill>
            <w14:solidFill>
              <w14:schemeClr w14:val="tx1"/>
            </w14:solidFill>
          </w14:textFill>
        </w:rPr>
        <w:t xml:space="preserve">3 </w:t>
      </w:r>
      <w:r>
        <w:rPr>
          <w:rFonts w:hint="default" w:ascii="仿宋" w:hAnsi="仿宋" w:eastAsia="仿宋" w:cs="仿宋"/>
          <w:b/>
          <w:bCs w:val="0"/>
          <w:color w:val="000000" w:themeColor="text1"/>
          <w:kern w:val="0"/>
          <w:sz w:val="24"/>
          <w:szCs w:val="24"/>
          <w14:textFill>
            <w14:solidFill>
              <w14:schemeClr w14:val="tx1"/>
            </w14:solidFill>
          </w14:textFill>
        </w:rPr>
        <w:t>发酵工段生产工艺流程简图</w:t>
      </w:r>
    </w:p>
    <w:p>
      <w:pPr>
        <w:ind w:firstLine="560"/>
        <w:rPr>
          <w:rFonts w:hint="eastAsia"/>
          <w:bCs/>
          <w:color w:val="000000" w:themeColor="text1"/>
          <w:kern w:val="44"/>
          <w:szCs w:val="28"/>
          <w:highlight w:val="none"/>
          <w:lang w:val="en-US" w:eastAsia="zh-CN"/>
          <w14:textFill>
            <w14:solidFill>
              <w14:schemeClr w14:val="tx1"/>
            </w14:solidFill>
          </w14:textFill>
        </w:rPr>
      </w:pPr>
      <w:r>
        <w:rPr>
          <w:rFonts w:hint="eastAsia"/>
          <w:bCs/>
          <w:color w:val="000000" w:themeColor="text1"/>
          <w:kern w:val="44"/>
          <w:szCs w:val="28"/>
          <w:highlight w:val="none"/>
          <w:lang w:val="en-US" w:eastAsia="zh-CN"/>
          <w14:textFill>
            <w14:solidFill>
              <w14:schemeClr w14:val="tx1"/>
            </w14:solidFill>
          </w14:textFill>
        </w:rPr>
        <w:t>4）灌装工段</w:t>
      </w:r>
    </w:p>
    <w:p>
      <w:pPr>
        <w:ind w:firstLine="560"/>
        <w:rPr>
          <w:rFonts w:hint="eastAsia"/>
          <w:bCs/>
          <w:color w:val="000000" w:themeColor="text1"/>
          <w:kern w:val="44"/>
          <w:szCs w:val="28"/>
          <w:highlight w:val="none"/>
          <w:lang w:val="en-US" w:eastAsia="zh-CN"/>
          <w14:textFill>
            <w14:solidFill>
              <w14:schemeClr w14:val="tx1"/>
            </w14:solidFill>
          </w14:textFill>
        </w:rPr>
      </w:pPr>
      <w:r>
        <w:rPr>
          <w:rFonts w:hint="eastAsia"/>
          <w:bCs/>
          <w:color w:val="000000" w:themeColor="text1"/>
          <w:kern w:val="44"/>
          <w:szCs w:val="28"/>
          <w:highlight w:val="none"/>
          <w:lang w:val="en-US" w:eastAsia="zh-CN"/>
          <w14:textFill>
            <w14:solidFill>
              <w14:schemeClr w14:val="tx1"/>
            </w14:solidFill>
          </w14:textFill>
        </w:rPr>
        <w:t>瓶装灌装工艺：通过刷盖器输送至灌装系统。推把将空瓶推至灌装元件的下方，抬起空瓶的同时用二氧化碳气体进行吹扫，并将瓶体快速压紧至灌装头，用二氧化碳气体进行加压，加压过程持续到空瓶内和啤酒缓冲罐内的压力相等时为止。此时，增压气瓶阀关闭，啤酒灌装阀打开。灌装过程开始时为缓慢灌装，直至灌装管被啤酒浸没，然后是快速灌装阶段，通过打开的返回气道排放加压气体实现灌装。灌装过程将近结束时，气缸关闭，最后再进行缓慢灌装。当罐内测量液体体积的电磁感应流量计反馈灌装充盈时，灌装过程即结束。在灌装过程结束时，啤酒灌装阀门关闭，返回气缸通道打开，使残留的加压气体在被控制的过程中从桶内逸出。灌装完毕，啤酒瓶被传送至压盖处。包装盖是全自动传送的，经过包装盖输送料斗，通过振动滑轨而将盖子逐一输送至相对应的啤酒瓶。灌装完毕，瓶装啤酒经码垛机码垛。</w:t>
      </w:r>
    </w:p>
    <w:p>
      <w:pPr>
        <w:ind w:firstLine="560"/>
        <w:rPr>
          <w:rFonts w:hint="eastAsia"/>
          <w:bCs/>
          <w:color w:val="000000" w:themeColor="text1"/>
          <w:kern w:val="44"/>
          <w:szCs w:val="28"/>
          <w:highlight w:val="none"/>
          <w:lang w:val="en-US" w:eastAsia="zh-CN"/>
          <w14:textFill>
            <w14:solidFill>
              <w14:schemeClr w14:val="tx1"/>
            </w14:solidFill>
          </w14:textFill>
        </w:rPr>
      </w:pPr>
      <w:r>
        <w:rPr>
          <w:rFonts w:hint="eastAsia"/>
          <w:bCs/>
          <w:color w:val="000000" w:themeColor="text1"/>
          <w:kern w:val="44"/>
          <w:szCs w:val="28"/>
          <w:highlight w:val="none"/>
          <w:lang w:val="en-US" w:eastAsia="zh-CN"/>
          <w14:textFill>
            <w14:solidFill>
              <w14:schemeClr w14:val="tx1"/>
            </w14:solidFill>
          </w14:textFill>
        </w:rPr>
        <w:t>易拉罐灌装工艺：码垛空罐由铲车运进车间并送入卸垛机，经卸垛机卸下送入空罐输送系统，再进入冲罐机用80℃温水进行冲洗、淋干达到无菌。啤酒灌装采用等压灌装，利用CO</w:t>
      </w:r>
      <w:r>
        <w:rPr>
          <w:rFonts w:hint="eastAsia"/>
          <w:bCs/>
          <w:color w:val="000000" w:themeColor="text1"/>
          <w:kern w:val="44"/>
          <w:szCs w:val="28"/>
          <w:highlight w:val="none"/>
          <w:vertAlign w:val="subscript"/>
          <w:lang w:val="en-US" w:eastAsia="zh-CN"/>
          <w14:textFill>
            <w14:solidFill>
              <w14:schemeClr w14:val="tx1"/>
            </w14:solidFill>
          </w14:textFill>
        </w:rPr>
        <w:t>2</w:t>
      </w:r>
      <w:r>
        <w:rPr>
          <w:rFonts w:hint="eastAsia"/>
          <w:bCs/>
          <w:color w:val="000000" w:themeColor="text1"/>
          <w:kern w:val="44"/>
          <w:szCs w:val="28"/>
          <w:highlight w:val="none"/>
          <w:lang w:val="en-US" w:eastAsia="zh-CN"/>
          <w14:textFill>
            <w14:solidFill>
              <w14:schemeClr w14:val="tx1"/>
            </w14:solidFill>
          </w14:textFill>
        </w:rPr>
        <w:t>置换罐内空气，灌装后喷蒸汽引沫到罐口，迅速封盖。灌装封盖后，由液位检测仪在线检测灌内啤酒是否合格，合格后的罐酒由输送系统送入杀菌机灭菌，然后经吹干机将罐表面水分吹干，然后经喷码机在实罐罐底喷注产品代号及生产日期，随即进入纸箱包装机包装成箱，最终送入成品库。</w:t>
      </w:r>
    </w:p>
    <w:p>
      <w:pPr>
        <w:ind w:firstLine="560"/>
        <w:rPr>
          <w:rFonts w:hint="default"/>
          <w:bCs/>
          <w:color w:val="000000" w:themeColor="text1"/>
          <w:kern w:val="44"/>
          <w:szCs w:val="28"/>
          <w:highlight w:val="none"/>
          <w:lang w:val="en-US" w:eastAsia="zh-CN"/>
          <w14:textFill>
            <w14:solidFill>
              <w14:schemeClr w14:val="tx1"/>
            </w14:solidFill>
          </w14:textFill>
        </w:rPr>
      </w:pPr>
      <w:r>
        <w:rPr>
          <w:rFonts w:hint="default"/>
          <w:bCs/>
          <w:color w:val="000000" w:themeColor="text1"/>
          <w:kern w:val="44"/>
          <w:szCs w:val="28"/>
          <w:highlight w:val="none"/>
          <w:lang w:val="en-US" w:eastAsia="zh-CN"/>
          <w14:textFill>
            <w14:solidFill>
              <w14:schemeClr w14:val="tx1"/>
            </w14:solidFill>
          </w14:textFill>
        </w:rPr>
        <w:t>灌装工段生产工艺流程简图见图</w:t>
      </w:r>
      <w:r>
        <w:rPr>
          <w:rFonts w:hint="eastAsia"/>
          <w:bCs/>
          <w:color w:val="000000" w:themeColor="text1"/>
          <w:kern w:val="44"/>
          <w:szCs w:val="28"/>
          <w:highlight w:val="none"/>
          <w:lang w:val="en-US" w:eastAsia="zh-CN"/>
          <w14:textFill>
            <w14:solidFill>
              <w14:schemeClr w14:val="tx1"/>
            </w14:solidFill>
          </w14:textFill>
        </w:rPr>
        <w:t>6</w:t>
      </w:r>
      <w:r>
        <w:rPr>
          <w:rFonts w:hint="default"/>
          <w:bCs/>
          <w:color w:val="000000" w:themeColor="text1"/>
          <w:kern w:val="44"/>
          <w:szCs w:val="28"/>
          <w:highlight w:val="none"/>
          <w:lang w:val="en-US" w:eastAsia="zh-CN"/>
          <w14:textFill>
            <w14:solidFill>
              <w14:schemeClr w14:val="tx1"/>
            </w14:solidFill>
          </w14:textFill>
        </w:rPr>
        <w:t>-5所示：</w:t>
      </w:r>
    </w:p>
    <w:p>
      <w:pPr>
        <w:snapToGrid w:val="0"/>
        <w:spacing w:line="360" w:lineRule="auto"/>
        <w:jc w:val="center"/>
        <w:rPr>
          <w:rFonts w:hint="eastAsia" w:ascii="黑体" w:hAnsi="黑体" w:eastAsia="黑体" w:cs="黑体"/>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4041775" cy="3215640"/>
            <wp:effectExtent l="0" t="0" r="15875" b="381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6"/>
                    <a:srcRect l="2384" t="1459" r="5636"/>
                    <a:stretch>
                      <a:fillRect/>
                    </a:stretch>
                  </pic:blipFill>
                  <pic:spPr>
                    <a:xfrm>
                      <a:off x="0" y="0"/>
                      <a:ext cx="4041775" cy="3215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bCs w:val="0"/>
          <w:color w:val="000000" w:themeColor="text1"/>
          <w:kern w:val="0"/>
          <w:sz w:val="24"/>
          <w:szCs w:val="24"/>
          <w14:textFill>
            <w14:solidFill>
              <w14:schemeClr w14:val="tx1"/>
            </w14:solidFill>
          </w14:textFill>
        </w:rPr>
      </w:pPr>
      <w:r>
        <w:rPr>
          <w:rFonts w:hint="eastAsia" w:ascii="仿宋" w:hAnsi="仿宋" w:eastAsia="仿宋" w:cs="仿宋"/>
          <w:b/>
          <w:bCs w:val="0"/>
          <w:color w:val="000000" w:themeColor="text1"/>
          <w:kern w:val="0"/>
          <w:sz w:val="24"/>
          <w:szCs w:val="24"/>
          <w14:textFill>
            <w14:solidFill>
              <w14:schemeClr w14:val="tx1"/>
            </w14:solidFill>
          </w14:textFill>
        </w:rPr>
        <w:t>图</w:t>
      </w:r>
      <w:r>
        <w:rPr>
          <w:rFonts w:hint="eastAsia" w:ascii="仿宋" w:hAnsi="仿宋" w:eastAsia="仿宋" w:cs="仿宋"/>
          <w:b/>
          <w:bCs w:val="0"/>
          <w:color w:val="000000" w:themeColor="text1"/>
          <w:kern w:val="0"/>
          <w:sz w:val="24"/>
          <w:szCs w:val="24"/>
          <w:lang w:val="en-US" w:eastAsia="zh-CN"/>
          <w14:textFill>
            <w14:solidFill>
              <w14:schemeClr w14:val="tx1"/>
            </w14:solidFill>
          </w14:textFill>
        </w:rPr>
        <w:t>6-</w:t>
      </w:r>
      <w:r>
        <w:rPr>
          <w:rFonts w:hint="eastAsia" w:cs="仿宋"/>
          <w:b/>
          <w:bCs w:val="0"/>
          <w:color w:val="000000" w:themeColor="text1"/>
          <w:kern w:val="0"/>
          <w:sz w:val="24"/>
          <w:szCs w:val="24"/>
          <w:lang w:val="en-US" w:eastAsia="zh-CN"/>
          <w14:textFill>
            <w14:solidFill>
              <w14:schemeClr w14:val="tx1"/>
            </w14:solidFill>
          </w14:textFill>
        </w:rPr>
        <w:t>4</w:t>
      </w:r>
      <w:r>
        <w:rPr>
          <w:rFonts w:hint="eastAsia" w:ascii="仿宋" w:hAnsi="仿宋" w:eastAsia="仿宋" w:cs="仿宋"/>
          <w:b/>
          <w:bCs w:val="0"/>
          <w:color w:val="000000" w:themeColor="text1"/>
          <w:kern w:val="0"/>
          <w:sz w:val="24"/>
          <w:szCs w:val="24"/>
          <w14:textFill>
            <w14:solidFill>
              <w14:schemeClr w14:val="tx1"/>
            </w14:solidFill>
          </w14:textFill>
        </w:rPr>
        <w:t xml:space="preserve"> 灌装生产工艺流程简图</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产品包装、标志、储存、运输与安全</w:t>
      </w:r>
    </w:p>
    <w:p>
      <w:pPr>
        <w:ind w:firstLine="560"/>
        <w:rPr>
          <w:rFonts w:hint="eastAsia"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各产品应在包装袋（盒）上印制产品名称、生产厂家名称、生产日期或批号、产品技术指标、标准编号、检验员号及食用说明等。产品出厂时应附有质量合格证。产品储存和运输应符合国家对食品储存和运输提出的有关规定。</w:t>
      </w:r>
    </w:p>
    <w:p>
      <w:pPr>
        <w:pStyle w:val="4"/>
        <w:ind w:firstLine="6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6.1.4</w:t>
      </w:r>
      <w:r>
        <w:rPr>
          <w:rFonts w:hint="eastAsia"/>
          <w:color w:val="000000" w:themeColor="text1"/>
          <w:highlight w:val="none"/>
          <w14:textFill>
            <w14:solidFill>
              <w14:schemeClr w14:val="tx1"/>
            </w14:solidFill>
          </w14:textFill>
        </w:rPr>
        <w:t>产品质量标准</w:t>
      </w:r>
    </w:p>
    <w:p>
      <w:pPr>
        <w:ind w:firstLine="560"/>
        <w:rPr>
          <w:rFonts w:hint="default" w:ascii="仿宋_GB2312" w:eastAsia="仿宋_GB2312"/>
          <w:color w:val="000000" w:themeColor="text1"/>
          <w:szCs w:val="28"/>
          <w:highlight w:val="none"/>
          <w14:textFill>
            <w14:solidFill>
              <w14:schemeClr w14:val="tx1"/>
            </w14:solidFill>
          </w14:textFill>
        </w:rPr>
      </w:pPr>
      <w:r>
        <w:rPr>
          <w:rFonts w:hint="default" w:ascii="仿宋_GB2312" w:eastAsia="仿宋_GB2312"/>
          <w:color w:val="000000" w:themeColor="text1"/>
          <w:szCs w:val="28"/>
          <w:highlight w:val="none"/>
          <w14:textFill>
            <w14:solidFill>
              <w14:schemeClr w14:val="tx1"/>
            </w14:solidFill>
          </w14:textFill>
        </w:rPr>
        <w:t>项目啤酒的感官要求、理化指标执行《啤酒》（GB</w:t>
      </w:r>
      <w:r>
        <w:rPr>
          <w:rFonts w:hint="eastAsia" w:ascii="仿宋_GB2312" w:eastAsia="仿宋_GB2312"/>
          <w:color w:val="000000" w:themeColor="text1"/>
          <w:szCs w:val="28"/>
          <w:highlight w:val="none"/>
          <w:lang w:val="en-US" w:eastAsia="zh-CN"/>
          <w14:textFill>
            <w14:solidFill>
              <w14:schemeClr w14:val="tx1"/>
            </w14:solidFill>
          </w14:textFill>
        </w:rPr>
        <w:t xml:space="preserve"> </w:t>
      </w:r>
      <w:r>
        <w:rPr>
          <w:rFonts w:hint="default" w:ascii="仿宋_GB2312" w:eastAsia="仿宋_GB2312"/>
          <w:color w:val="000000" w:themeColor="text1"/>
          <w:szCs w:val="28"/>
          <w:highlight w:val="none"/>
          <w14:textFill>
            <w14:solidFill>
              <w14:schemeClr w14:val="tx1"/>
            </w14:solidFill>
          </w14:textFill>
        </w:rPr>
        <w:t>4927-2008），详见表</w:t>
      </w:r>
      <w:r>
        <w:rPr>
          <w:rFonts w:hint="eastAsia" w:ascii="仿宋_GB2312" w:eastAsia="仿宋_GB2312"/>
          <w:color w:val="000000" w:themeColor="text1"/>
          <w:szCs w:val="28"/>
          <w:highlight w:val="none"/>
          <w:lang w:val="en-US" w:eastAsia="zh-CN"/>
          <w14:textFill>
            <w14:solidFill>
              <w14:schemeClr w14:val="tx1"/>
            </w14:solidFill>
          </w14:textFill>
        </w:rPr>
        <w:t>6</w:t>
      </w:r>
      <w:r>
        <w:rPr>
          <w:rFonts w:hint="default" w:ascii="仿宋_GB2312" w:eastAsia="仿宋_GB2312"/>
          <w:color w:val="000000" w:themeColor="text1"/>
          <w:szCs w:val="28"/>
          <w:highlight w:val="none"/>
          <w14:textFill>
            <w14:solidFill>
              <w14:schemeClr w14:val="tx1"/>
            </w14:solidFill>
          </w14:textFill>
        </w:rPr>
        <w:t>-2和表</w:t>
      </w:r>
      <w:r>
        <w:rPr>
          <w:rFonts w:hint="eastAsia" w:ascii="仿宋_GB2312" w:eastAsia="仿宋_GB2312"/>
          <w:color w:val="000000" w:themeColor="text1"/>
          <w:szCs w:val="28"/>
          <w:highlight w:val="none"/>
          <w:lang w:val="en-US" w:eastAsia="zh-CN"/>
          <w14:textFill>
            <w14:solidFill>
              <w14:schemeClr w14:val="tx1"/>
            </w14:solidFill>
          </w14:textFill>
        </w:rPr>
        <w:t>6</w:t>
      </w:r>
      <w:r>
        <w:rPr>
          <w:rFonts w:hint="default" w:ascii="仿宋_GB2312" w:eastAsia="仿宋_GB2312"/>
          <w:color w:val="000000" w:themeColor="text1"/>
          <w:szCs w:val="28"/>
          <w:highlight w:val="none"/>
          <w14:textFill>
            <w14:solidFill>
              <w14:schemeClr w14:val="tx1"/>
            </w14:solidFill>
          </w14:textFill>
        </w:rPr>
        <w:t>-3。项目啤酒的卫生理化和微生物指标参照执行《发酵酒卫生标准》（GB</w:t>
      </w:r>
      <w:r>
        <w:rPr>
          <w:rFonts w:hint="eastAsia" w:ascii="仿宋_GB2312" w:eastAsia="仿宋_GB2312"/>
          <w:color w:val="000000" w:themeColor="text1"/>
          <w:szCs w:val="28"/>
          <w:highlight w:val="none"/>
          <w:lang w:val="en-US" w:eastAsia="zh-CN"/>
          <w14:textFill>
            <w14:solidFill>
              <w14:schemeClr w14:val="tx1"/>
            </w14:solidFill>
          </w14:textFill>
        </w:rPr>
        <w:t xml:space="preserve"> </w:t>
      </w:r>
      <w:r>
        <w:rPr>
          <w:rFonts w:hint="default" w:ascii="仿宋_GB2312" w:eastAsia="仿宋_GB2312"/>
          <w:color w:val="000000" w:themeColor="text1"/>
          <w:szCs w:val="28"/>
          <w:highlight w:val="none"/>
          <w14:textFill>
            <w14:solidFill>
              <w14:schemeClr w14:val="tx1"/>
            </w14:solidFill>
          </w14:textFill>
        </w:rPr>
        <w:t>2758-2005）</w:t>
      </w:r>
      <w:r>
        <w:rPr>
          <w:rFonts w:hint="eastAsia" w:ascii="仿宋_GB2312" w:eastAsia="仿宋_GB2312"/>
          <w:color w:val="000000" w:themeColor="text1"/>
          <w:szCs w:val="28"/>
          <w:highlight w:val="none"/>
          <w:lang w:eastAsia="zh-CN"/>
          <w14:textFill>
            <w14:solidFill>
              <w14:schemeClr w14:val="tx1"/>
            </w14:solidFill>
          </w14:textFill>
        </w:rPr>
        <w:t>，</w:t>
      </w:r>
      <w:r>
        <w:rPr>
          <w:rFonts w:hint="default" w:ascii="仿宋_GB2312" w:eastAsia="仿宋_GB2312"/>
          <w:color w:val="000000" w:themeColor="text1"/>
          <w:szCs w:val="28"/>
          <w:highlight w:val="none"/>
          <w14:textFill>
            <w14:solidFill>
              <w14:schemeClr w14:val="tx1"/>
            </w14:solidFill>
          </w14:textFill>
        </w:rPr>
        <w:t>详见表</w:t>
      </w:r>
      <w:r>
        <w:rPr>
          <w:rFonts w:hint="eastAsia" w:ascii="仿宋_GB2312" w:eastAsia="仿宋_GB2312"/>
          <w:color w:val="000000" w:themeColor="text1"/>
          <w:szCs w:val="28"/>
          <w:highlight w:val="none"/>
          <w:lang w:val="en-US" w:eastAsia="zh-CN"/>
          <w14:textFill>
            <w14:solidFill>
              <w14:schemeClr w14:val="tx1"/>
            </w14:solidFill>
          </w14:textFill>
        </w:rPr>
        <w:t>6</w:t>
      </w:r>
      <w:r>
        <w:rPr>
          <w:rFonts w:hint="default" w:ascii="仿宋_GB2312" w:eastAsia="仿宋_GB2312"/>
          <w:color w:val="000000" w:themeColor="text1"/>
          <w:szCs w:val="28"/>
          <w:highlight w:val="none"/>
          <w14:textFill>
            <w14:solidFill>
              <w14:schemeClr w14:val="tx1"/>
            </w14:solidFill>
          </w14:textFill>
        </w:rPr>
        <w:t>-4和表</w:t>
      </w:r>
      <w:r>
        <w:rPr>
          <w:rFonts w:hint="eastAsia" w:ascii="仿宋_GB2312" w:eastAsia="仿宋_GB2312"/>
          <w:color w:val="000000" w:themeColor="text1"/>
          <w:szCs w:val="28"/>
          <w:highlight w:val="none"/>
          <w:lang w:val="en-US" w:eastAsia="zh-CN"/>
          <w14:textFill>
            <w14:solidFill>
              <w14:schemeClr w14:val="tx1"/>
            </w14:solidFill>
          </w14:textFill>
        </w:rPr>
        <w:t>6</w:t>
      </w:r>
      <w:r>
        <w:rPr>
          <w:rFonts w:hint="default" w:ascii="仿宋_GB2312" w:eastAsia="仿宋_GB2312"/>
          <w:color w:val="000000" w:themeColor="text1"/>
          <w:szCs w:val="28"/>
          <w:highlight w:val="none"/>
          <w14:textFill>
            <w14:solidFill>
              <w14:schemeClr w14:val="tx1"/>
            </w14:solidFill>
          </w14:textFill>
        </w:rPr>
        <w:t>-5。</w:t>
      </w:r>
    </w:p>
    <w:p>
      <w:pPr>
        <w:spacing w:line="360" w:lineRule="auto"/>
        <w:jc w:val="center"/>
        <w:rPr>
          <w:rFonts w:hint="eastAsia"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感官要求</w:t>
      </w:r>
    </w:p>
    <w:p>
      <w:pPr>
        <w:spacing w:line="240" w:lineRule="auto"/>
        <w:ind w:firstLine="0" w:firstLineChars="0"/>
        <w:jc w:val="left"/>
        <w:rPr>
          <w:rFonts w:hint="eastAsia" w:cs="宋体"/>
          <w:b/>
          <w:bCs/>
          <w:color w:val="000000" w:themeColor="text1"/>
          <w:sz w:val="21"/>
          <w:szCs w:val="21"/>
          <w:highlight w:val="none"/>
          <w:lang w:val="zh-CN"/>
          <w14:textFill>
            <w14:solidFill>
              <w14:schemeClr w14:val="tx1"/>
            </w14:solidFill>
          </w14:textFill>
        </w:rPr>
      </w:pPr>
      <w:r>
        <w:rPr>
          <w:rFonts w:hint="eastAsia" w:cs="宋体"/>
          <w:b/>
          <w:bCs/>
          <w:color w:val="000000" w:themeColor="text1"/>
          <w:sz w:val="21"/>
          <w:szCs w:val="21"/>
          <w:highlight w:val="none"/>
          <w:lang w:val="zh-CN"/>
          <w14:textFill>
            <w14:solidFill>
              <w14:schemeClr w14:val="tx1"/>
            </w14:solidFill>
          </w14:textFill>
        </w:rPr>
        <w:t>表</w:t>
      </w:r>
      <w:r>
        <w:rPr>
          <w:rFonts w:hint="eastAsia" w:cs="宋体"/>
          <w:b/>
          <w:bCs/>
          <w:color w:val="000000" w:themeColor="text1"/>
          <w:sz w:val="21"/>
          <w:szCs w:val="21"/>
          <w:highlight w:val="none"/>
          <w:lang w:val="en-US" w:eastAsia="zh-CN"/>
          <w14:textFill>
            <w14:solidFill>
              <w14:schemeClr w14:val="tx1"/>
            </w14:solidFill>
          </w14:textFill>
        </w:rPr>
        <w:t>6</w:t>
      </w:r>
      <w:r>
        <w:rPr>
          <w:rFonts w:hint="eastAsia" w:cs="宋体"/>
          <w:b/>
          <w:bCs/>
          <w:color w:val="000000" w:themeColor="text1"/>
          <w:sz w:val="21"/>
          <w:szCs w:val="21"/>
          <w:highlight w:val="none"/>
          <w:lang w:val="zh-CN"/>
          <w14:textFill>
            <w14:solidFill>
              <w14:schemeClr w14:val="tx1"/>
            </w14:solidFill>
          </w14:textFill>
        </w:rPr>
        <w:t>-2</w:t>
      </w:r>
    </w:p>
    <w:tbl>
      <w:tblPr>
        <w:tblStyle w:val="4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1745"/>
        <w:gridCol w:w="834"/>
        <w:gridCol w:w="2902"/>
        <w:gridCol w:w="29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866" w:type="pct"/>
            <w:gridSpan w:val="3"/>
            <w:tcBorders>
              <w:top w:val="double" w:color="auto" w:sz="4" w:space="0"/>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项目</w:t>
            </w:r>
          </w:p>
        </w:tc>
        <w:tc>
          <w:tcPr>
            <w:tcW w:w="1563"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优级</w:t>
            </w:r>
          </w:p>
        </w:tc>
        <w:tc>
          <w:tcPr>
            <w:tcW w:w="1569" w:type="pct"/>
            <w:tcBorders>
              <w:top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一级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exact"/>
          <w:jc w:val="center"/>
        </w:trPr>
        <w:tc>
          <w:tcPr>
            <w:tcW w:w="477" w:type="pct"/>
            <w:vMerge w:val="restar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外观a</w:t>
            </w:r>
          </w:p>
        </w:tc>
        <w:tc>
          <w:tcPr>
            <w:tcW w:w="13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透明度</w:t>
            </w:r>
          </w:p>
        </w:tc>
        <w:tc>
          <w:tcPr>
            <w:tcW w:w="3133"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清亮，允许有肉眼可见的微细悬浮物和沉淀物 （非外来异物）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77" w:type="pct"/>
            <w:vMerge w:val="continue"/>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13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浊度/EBC ≤</w:t>
            </w:r>
          </w:p>
        </w:tc>
        <w:tc>
          <w:tcPr>
            <w:tcW w:w="1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0.9</w:t>
            </w:r>
          </w:p>
        </w:tc>
        <w:tc>
          <w:tcPr>
            <w:tcW w:w="1569"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9" w:hRule="exact"/>
          <w:jc w:val="center"/>
        </w:trPr>
        <w:tc>
          <w:tcPr>
            <w:tcW w:w="477" w:type="pct"/>
            <w:vMerge w:val="restar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泡沫</w:t>
            </w:r>
          </w:p>
        </w:tc>
        <w:tc>
          <w:tcPr>
            <w:tcW w:w="138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形态</w:t>
            </w:r>
          </w:p>
        </w:tc>
        <w:tc>
          <w:tcPr>
            <w:tcW w:w="1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泡沫洁白细腻，持久挂杯</w:t>
            </w:r>
          </w:p>
        </w:tc>
        <w:tc>
          <w:tcPr>
            <w:tcW w:w="1569"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泡沫较洁白细腻，较持久挂杯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77" w:type="pct"/>
            <w:vMerge w:val="continue"/>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9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泡持性b/s ≥</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瓶装</w:t>
            </w:r>
          </w:p>
        </w:tc>
        <w:tc>
          <w:tcPr>
            <w:tcW w:w="1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180</w:t>
            </w:r>
          </w:p>
        </w:tc>
        <w:tc>
          <w:tcPr>
            <w:tcW w:w="1569"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477" w:type="pct"/>
            <w:vMerge w:val="continue"/>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9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听装</w:t>
            </w:r>
          </w:p>
        </w:tc>
        <w:tc>
          <w:tcPr>
            <w:tcW w:w="1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150</w:t>
            </w:r>
          </w:p>
        </w:tc>
        <w:tc>
          <w:tcPr>
            <w:tcW w:w="1569"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94" w:hRule="exact"/>
          <w:jc w:val="center"/>
        </w:trPr>
        <w:tc>
          <w:tcPr>
            <w:tcW w:w="1866" w:type="pct"/>
            <w:gridSpan w:val="3"/>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香气和口味</w:t>
            </w:r>
          </w:p>
        </w:tc>
        <w:tc>
          <w:tcPr>
            <w:tcW w:w="15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有明显的酒花的香气，口味纯正，酒体协调，柔和，无，异香，异味</w:t>
            </w:r>
          </w:p>
        </w:tc>
        <w:tc>
          <w:tcPr>
            <w:tcW w:w="1569"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有较明显的酒花的香气，口味纯正，酒体协调，柔和，无，异香，异味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5000" w:type="pct"/>
            <w:gridSpan w:val="5"/>
            <w:tcBorders>
              <w:left w:val="double" w:color="auto" w:sz="4" w:space="0"/>
              <w:bottom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（1）对非瓶装的鲜啤酒无要求。（2）对桶装(鲜、生、熟)啤酒无要求。</w:t>
            </w:r>
          </w:p>
        </w:tc>
      </w:tr>
    </w:tbl>
    <w:p>
      <w:pPr>
        <w:spacing w:line="360" w:lineRule="auto"/>
        <w:jc w:val="center"/>
        <w:rPr>
          <w:rFonts w:hint="default" w:ascii="仿宋" w:hAnsi="仿宋" w:eastAsia="仿宋" w:cs="仿宋"/>
          <w:b/>
          <w:bCs w:val="0"/>
          <w:color w:val="000000" w:themeColor="text1"/>
          <w:sz w:val="24"/>
          <w14:textFill>
            <w14:solidFill>
              <w14:schemeClr w14:val="tx1"/>
            </w14:solidFill>
          </w14:textFill>
        </w:rPr>
      </w:pPr>
      <w:r>
        <w:rPr>
          <w:rFonts w:hint="default" w:ascii="仿宋" w:hAnsi="仿宋" w:eastAsia="仿宋" w:cs="仿宋"/>
          <w:b/>
          <w:bCs w:val="0"/>
          <w:color w:val="000000" w:themeColor="text1"/>
          <w:sz w:val="24"/>
          <w14:textFill>
            <w14:solidFill>
              <w14:schemeClr w14:val="tx1"/>
            </w14:solidFill>
          </w14:textFill>
        </w:rPr>
        <w:t>理化指标</w:t>
      </w:r>
    </w:p>
    <w:p>
      <w:pPr>
        <w:spacing w:line="240" w:lineRule="auto"/>
        <w:ind w:firstLine="0" w:firstLineChars="0"/>
        <w:jc w:val="left"/>
        <w:rPr>
          <w:rFonts w:hint="default" w:cs="宋体"/>
          <w:b/>
          <w:bCs/>
          <w:color w:val="000000" w:themeColor="text1"/>
          <w:sz w:val="21"/>
          <w:szCs w:val="21"/>
          <w:highlight w:val="none"/>
          <w:lang w:val="zh-CN"/>
          <w14:textFill>
            <w14:solidFill>
              <w14:schemeClr w14:val="tx1"/>
            </w14:solidFill>
          </w14:textFill>
        </w:rPr>
      </w:pPr>
      <w:r>
        <w:rPr>
          <w:rFonts w:hint="default" w:cs="宋体"/>
          <w:b/>
          <w:bCs/>
          <w:color w:val="000000" w:themeColor="text1"/>
          <w:sz w:val="21"/>
          <w:szCs w:val="21"/>
          <w:highlight w:val="none"/>
          <w:lang w:val="zh-CN"/>
          <w14:textFill>
            <w14:solidFill>
              <w14:schemeClr w14:val="tx1"/>
            </w14:solidFill>
          </w14:textFill>
        </w:rPr>
        <w:t>表</w:t>
      </w:r>
      <w:r>
        <w:rPr>
          <w:rFonts w:hint="eastAsia" w:cs="宋体"/>
          <w:b/>
          <w:bCs/>
          <w:color w:val="000000" w:themeColor="text1"/>
          <w:sz w:val="21"/>
          <w:szCs w:val="21"/>
          <w:highlight w:val="none"/>
          <w:lang w:val="en-US" w:eastAsia="zh-CN"/>
          <w14:textFill>
            <w14:solidFill>
              <w14:schemeClr w14:val="tx1"/>
            </w14:solidFill>
          </w14:textFill>
        </w:rPr>
        <w:t>6</w:t>
      </w:r>
      <w:r>
        <w:rPr>
          <w:rFonts w:hint="default" w:cs="宋体"/>
          <w:b/>
          <w:bCs/>
          <w:color w:val="000000" w:themeColor="text1"/>
          <w:sz w:val="21"/>
          <w:szCs w:val="21"/>
          <w:highlight w:val="none"/>
          <w:lang w:val="zh-CN"/>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3</w:t>
      </w:r>
    </w:p>
    <w:tbl>
      <w:tblPr>
        <w:tblStyle w:val="40"/>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89"/>
        <w:gridCol w:w="2284"/>
        <w:gridCol w:w="30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2148" w:type="pct"/>
            <w:tcBorders>
              <w:top w:val="double" w:color="auto" w:sz="4" w:space="0"/>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项目</w:t>
            </w:r>
          </w:p>
        </w:tc>
        <w:tc>
          <w:tcPr>
            <w:tcW w:w="1230" w:type="pct"/>
            <w:tcBorders>
              <w:top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优级</w:t>
            </w:r>
          </w:p>
        </w:tc>
        <w:tc>
          <w:tcPr>
            <w:tcW w:w="1621" w:type="pct"/>
            <w:tcBorders>
              <w:top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一级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酒精度％（vol）</w:t>
            </w:r>
          </w:p>
        </w:tc>
        <w:tc>
          <w:tcPr>
            <w:tcW w:w="2851"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原麦汁浓度/（OP）</w:t>
            </w:r>
          </w:p>
        </w:tc>
        <w:tc>
          <w:tcPr>
            <w:tcW w:w="2851"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总酸/（mL/100mL）</w:t>
            </w:r>
          </w:p>
        </w:tc>
        <w:tc>
          <w:tcPr>
            <w:tcW w:w="2851"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二氧化碳c％（质量百分数）</w:t>
            </w:r>
          </w:p>
        </w:tc>
        <w:tc>
          <w:tcPr>
            <w:tcW w:w="2851"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0.35～0.65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双乙酰/（mg/L）</w:t>
            </w:r>
          </w:p>
        </w:tc>
        <w:tc>
          <w:tcPr>
            <w:tcW w:w="12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≤0.10</w:t>
            </w:r>
          </w:p>
        </w:tc>
        <w:tc>
          <w:tcPr>
            <w:tcW w:w="1621"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148"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蔗糖转化酶活性d</w:t>
            </w:r>
          </w:p>
        </w:tc>
        <w:tc>
          <w:tcPr>
            <w:tcW w:w="2851" w:type="pct"/>
            <w:gridSpan w:val="2"/>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呈阳性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4" w:hRule="exact"/>
          <w:jc w:val="center"/>
        </w:trPr>
        <w:tc>
          <w:tcPr>
            <w:tcW w:w="5000" w:type="pct"/>
            <w:gridSpan w:val="3"/>
            <w:tcBorders>
              <w:left w:val="double" w:color="auto" w:sz="4" w:space="0"/>
              <w:bottom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（1）桶装(鲜、生、熟)啤酒二氧化碳不得小于 0.25％（质量分数）（2）仅对“生啤酒”和“鲜啤酒”有要求。</w:t>
            </w:r>
          </w:p>
        </w:tc>
      </w:tr>
    </w:tbl>
    <w:p>
      <w:pPr>
        <w:spacing w:line="360" w:lineRule="auto"/>
        <w:jc w:val="center"/>
        <w:rPr>
          <w:rFonts w:hint="default" w:ascii="仿宋" w:hAnsi="仿宋" w:eastAsia="仿宋" w:cs="仿宋"/>
          <w:b/>
          <w:bCs w:val="0"/>
          <w:color w:val="000000" w:themeColor="text1"/>
          <w:sz w:val="24"/>
          <w14:textFill>
            <w14:solidFill>
              <w14:schemeClr w14:val="tx1"/>
            </w14:solidFill>
          </w14:textFill>
        </w:rPr>
      </w:pPr>
      <w:r>
        <w:rPr>
          <w:rFonts w:hint="default" w:ascii="仿宋" w:hAnsi="仿宋" w:eastAsia="仿宋" w:cs="仿宋"/>
          <w:b/>
          <w:bCs w:val="0"/>
          <w:color w:val="000000" w:themeColor="text1"/>
          <w:sz w:val="24"/>
          <w14:textFill>
            <w14:solidFill>
              <w14:schemeClr w14:val="tx1"/>
            </w14:solidFill>
          </w14:textFill>
        </w:rPr>
        <w:t>卫生理化指标</w:t>
      </w:r>
    </w:p>
    <w:p>
      <w:pPr>
        <w:spacing w:line="240" w:lineRule="auto"/>
        <w:ind w:firstLine="0" w:firstLineChars="0"/>
        <w:jc w:val="left"/>
        <w:rPr>
          <w:rFonts w:hint="eastAsia" w:cs="宋体"/>
          <w:b/>
          <w:bCs/>
          <w:color w:val="000000" w:themeColor="text1"/>
          <w:sz w:val="21"/>
          <w:szCs w:val="21"/>
          <w:highlight w:val="none"/>
          <w:lang w:val="zh-CN" w:eastAsia="zh-CN"/>
          <w14:textFill>
            <w14:solidFill>
              <w14:schemeClr w14:val="tx1"/>
            </w14:solidFill>
          </w14:textFill>
        </w:rPr>
      </w:pPr>
      <w:r>
        <w:rPr>
          <w:rFonts w:hint="default" w:cs="宋体"/>
          <w:b/>
          <w:bCs/>
          <w:color w:val="000000" w:themeColor="text1"/>
          <w:sz w:val="21"/>
          <w:szCs w:val="21"/>
          <w:highlight w:val="none"/>
          <w:lang w:val="zh-CN"/>
          <w14:textFill>
            <w14:solidFill>
              <w14:schemeClr w14:val="tx1"/>
            </w14:solidFill>
          </w14:textFill>
        </w:rPr>
        <w:t>表</w:t>
      </w:r>
      <w:r>
        <w:rPr>
          <w:rFonts w:hint="eastAsia" w:cs="宋体"/>
          <w:b/>
          <w:bCs/>
          <w:color w:val="000000" w:themeColor="text1"/>
          <w:sz w:val="21"/>
          <w:szCs w:val="21"/>
          <w:highlight w:val="none"/>
          <w:lang w:val="en-US" w:eastAsia="zh-CN"/>
          <w14:textFill>
            <w14:solidFill>
              <w14:schemeClr w14:val="tx1"/>
            </w14:solidFill>
          </w14:textFill>
        </w:rPr>
        <w:t>6</w:t>
      </w:r>
      <w:r>
        <w:rPr>
          <w:rFonts w:hint="default" w:cs="宋体"/>
          <w:b/>
          <w:bCs/>
          <w:color w:val="000000" w:themeColor="text1"/>
          <w:sz w:val="21"/>
          <w:szCs w:val="21"/>
          <w:highlight w:val="none"/>
          <w:lang w:val="zh-CN"/>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4</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644"/>
        <w:gridCol w:w="46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2500" w:type="pct"/>
            <w:tcBorders>
              <w:top w:val="double" w:color="auto" w:sz="4" w:space="0"/>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项目</w:t>
            </w:r>
          </w:p>
        </w:tc>
        <w:tc>
          <w:tcPr>
            <w:tcW w:w="2500" w:type="pct"/>
            <w:tcBorders>
              <w:top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500"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总二氧化硫(SO</w:t>
            </w:r>
            <w:r>
              <w:rPr>
                <w:rFonts w:hint="eastAsia"/>
                <w:color w:val="000000" w:themeColor="text1"/>
                <w:sz w:val="24"/>
                <w:highlight w:val="none"/>
                <w:vertAlign w:val="subscript"/>
                <w:lang w:val="en-US" w:eastAsia="zh-CN"/>
                <w14:textFill>
                  <w14:solidFill>
                    <w14:schemeClr w14:val="tx1"/>
                  </w14:solidFill>
                </w14:textFill>
              </w:rPr>
              <w:t>2</w:t>
            </w:r>
            <w:r>
              <w:rPr>
                <w:rFonts w:hint="eastAsia"/>
                <w:color w:val="000000" w:themeColor="text1"/>
                <w:sz w:val="24"/>
                <w:highlight w:val="none"/>
                <w:lang w:val="en-US" w:eastAsia="zh-CN"/>
                <w14:textFill>
                  <w14:solidFill>
                    <w14:schemeClr w14:val="tx1"/>
                  </w14:solidFill>
                </w14:textFill>
              </w:rPr>
              <w:t>)/(mg/L)  ≤</w:t>
            </w:r>
          </w:p>
        </w:tc>
        <w:tc>
          <w:tcPr>
            <w:tcW w:w="2500"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500"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甲醛/（mg/L） ≤</w:t>
            </w:r>
          </w:p>
        </w:tc>
        <w:tc>
          <w:tcPr>
            <w:tcW w:w="2500"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2500" w:type="pct"/>
            <w:tcBorders>
              <w:left w:val="double" w:color="auto" w:sz="4"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铅（Pb）/（mg/L）≤</w:t>
            </w:r>
          </w:p>
        </w:tc>
        <w:tc>
          <w:tcPr>
            <w:tcW w:w="2500" w:type="pct"/>
            <w:tcBorders>
              <w:bottom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0.5</w:t>
            </w:r>
          </w:p>
        </w:tc>
      </w:tr>
    </w:tbl>
    <w:p>
      <w:pPr>
        <w:spacing w:line="360" w:lineRule="auto"/>
        <w:jc w:val="center"/>
        <w:rPr>
          <w:rFonts w:hint="default" w:ascii="仿宋" w:hAnsi="仿宋" w:eastAsia="仿宋" w:cs="仿宋"/>
          <w:b/>
          <w:bCs w:val="0"/>
          <w:color w:val="000000" w:themeColor="text1"/>
          <w:sz w:val="24"/>
          <w14:textFill>
            <w14:solidFill>
              <w14:schemeClr w14:val="tx1"/>
            </w14:solidFill>
          </w14:textFill>
        </w:rPr>
      </w:pPr>
      <w:r>
        <w:rPr>
          <w:rFonts w:hint="default" w:ascii="仿宋" w:hAnsi="仿宋" w:eastAsia="仿宋" w:cs="仿宋"/>
          <w:b/>
          <w:bCs w:val="0"/>
          <w:color w:val="000000" w:themeColor="text1"/>
          <w:sz w:val="24"/>
          <w14:textFill>
            <w14:solidFill>
              <w14:schemeClr w14:val="tx1"/>
            </w14:solidFill>
          </w14:textFill>
        </w:rPr>
        <w:t>微生物指标</w:t>
      </w:r>
    </w:p>
    <w:p>
      <w:pPr>
        <w:spacing w:line="240" w:lineRule="auto"/>
        <w:ind w:firstLine="0" w:firstLineChars="0"/>
        <w:jc w:val="left"/>
        <w:rPr>
          <w:rFonts w:hint="eastAsia" w:cs="宋体"/>
          <w:b/>
          <w:bCs/>
          <w:color w:val="000000" w:themeColor="text1"/>
          <w:sz w:val="21"/>
          <w:szCs w:val="21"/>
          <w:highlight w:val="none"/>
          <w:lang w:val="zh-CN" w:eastAsia="zh-CN"/>
          <w14:textFill>
            <w14:solidFill>
              <w14:schemeClr w14:val="tx1"/>
            </w14:solidFill>
          </w14:textFill>
        </w:rPr>
      </w:pPr>
      <w:r>
        <w:rPr>
          <w:rFonts w:hint="default" w:cs="宋体"/>
          <w:b/>
          <w:bCs/>
          <w:color w:val="000000" w:themeColor="text1"/>
          <w:sz w:val="21"/>
          <w:szCs w:val="21"/>
          <w:highlight w:val="none"/>
          <w:lang w:val="zh-CN"/>
          <w14:textFill>
            <w14:solidFill>
              <w14:schemeClr w14:val="tx1"/>
            </w14:solidFill>
          </w14:textFill>
        </w:rPr>
        <w:t>表</w:t>
      </w:r>
      <w:r>
        <w:rPr>
          <w:rFonts w:hint="eastAsia" w:cs="宋体"/>
          <w:b/>
          <w:bCs/>
          <w:color w:val="000000" w:themeColor="text1"/>
          <w:sz w:val="21"/>
          <w:szCs w:val="21"/>
          <w:highlight w:val="none"/>
          <w:lang w:val="en-US" w:eastAsia="zh-CN"/>
          <w14:textFill>
            <w14:solidFill>
              <w14:schemeClr w14:val="tx1"/>
            </w14:solidFill>
          </w14:textFill>
        </w:rPr>
        <w:t>6</w:t>
      </w:r>
      <w:r>
        <w:rPr>
          <w:rFonts w:hint="default" w:cs="宋体"/>
          <w:b/>
          <w:bCs/>
          <w:color w:val="000000" w:themeColor="text1"/>
          <w:sz w:val="21"/>
          <w:szCs w:val="21"/>
          <w:highlight w:val="none"/>
          <w:lang w:val="zh-CN"/>
          <w14:textFill>
            <w14:solidFill>
              <w14:schemeClr w14:val="tx1"/>
            </w14:solidFill>
          </w14:textFill>
        </w:rPr>
        <w:t>-</w:t>
      </w:r>
      <w:r>
        <w:rPr>
          <w:rFonts w:hint="eastAsia" w:cs="宋体"/>
          <w:b/>
          <w:bCs/>
          <w:color w:val="000000" w:themeColor="text1"/>
          <w:sz w:val="21"/>
          <w:szCs w:val="21"/>
          <w:highlight w:val="none"/>
          <w:lang w:val="en-US" w:eastAsia="zh-CN"/>
          <w14:textFill>
            <w14:solidFill>
              <w14:schemeClr w14:val="tx1"/>
            </w14:solidFill>
          </w14:textFill>
        </w:rPr>
        <w:t>5</w:t>
      </w:r>
    </w:p>
    <w:tbl>
      <w:tblPr>
        <w:tblStyle w:val="40"/>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245"/>
        <w:gridCol w:w="1520"/>
        <w:gridCol w:w="15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3362" w:type="pct"/>
            <w:vMerge w:val="restart"/>
            <w:tcBorders>
              <w:top w:val="double" w:color="auto" w:sz="4" w:space="0"/>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项目</w:t>
            </w:r>
          </w:p>
        </w:tc>
        <w:tc>
          <w:tcPr>
            <w:tcW w:w="1637" w:type="pct"/>
            <w:gridSpan w:val="2"/>
            <w:tcBorders>
              <w:top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3362" w:type="pct"/>
            <w:vMerge w:val="continue"/>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8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鲜啤酒</w:t>
            </w:r>
          </w:p>
        </w:tc>
        <w:tc>
          <w:tcPr>
            <w:tcW w:w="81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熟啤酒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362"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菌落总数（cuf/mL）≤</w:t>
            </w:r>
          </w:p>
        </w:tc>
        <w:tc>
          <w:tcPr>
            <w:tcW w:w="8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w:t>
            </w:r>
          </w:p>
        </w:tc>
        <w:tc>
          <w:tcPr>
            <w:tcW w:w="81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362" w:type="pct"/>
            <w:tcBorders>
              <w:lef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大肠菌群（MPN/100 mL）≤</w:t>
            </w:r>
          </w:p>
        </w:tc>
        <w:tc>
          <w:tcPr>
            <w:tcW w:w="8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p>
        </w:tc>
        <w:tc>
          <w:tcPr>
            <w:tcW w:w="818" w:type="pct"/>
            <w:tcBorders>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362" w:type="pct"/>
            <w:tcBorders>
              <w:left w:val="double" w:color="auto" w:sz="4" w:space="0"/>
              <w:bottom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肠道致病菌（沙门氏菌、志贺氏菌、金黄色葡萄球菌）</w:t>
            </w:r>
          </w:p>
        </w:tc>
        <w:tc>
          <w:tcPr>
            <w:tcW w:w="1637" w:type="pct"/>
            <w:gridSpan w:val="2"/>
            <w:tcBorders>
              <w:bottom w:val="doub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不得检出</w:t>
            </w:r>
          </w:p>
        </w:tc>
      </w:tr>
    </w:tbl>
    <w:p>
      <w:pPr>
        <w:pStyle w:val="3"/>
        <w:spacing w:before="192" w:after="216"/>
        <w:rPr>
          <w:color w:val="000000" w:themeColor="text1"/>
          <w:highlight w:val="none"/>
          <w14:textFill>
            <w14:solidFill>
              <w14:schemeClr w14:val="tx1"/>
            </w14:solidFill>
          </w14:textFill>
        </w:rPr>
      </w:pPr>
      <w:bookmarkStart w:id="132" w:name="_Toc435196588"/>
      <w:bookmarkStart w:id="133" w:name="_Toc30600"/>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设备方案</w:t>
      </w:r>
      <w:bookmarkEnd w:id="132"/>
      <w:bookmarkEnd w:id="133"/>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.1设备选择原则</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1</w:t>
      </w:r>
      <w:r>
        <w:rPr>
          <w:rFonts w:hint="eastAsia" w:ascii="仿宋_GB2312" w:eastAsia="仿宋_GB2312" w:cs="宋体"/>
          <w:color w:val="000000" w:themeColor="text1"/>
          <w:szCs w:val="28"/>
          <w:highlight w:val="none"/>
          <w:lang w:val="zh-CN"/>
          <w14:textFill>
            <w14:solidFill>
              <w14:schemeClr w14:val="tx1"/>
            </w14:solidFill>
          </w14:textFill>
        </w:rPr>
        <w:t>）符合我国现行食品卫生、保健品质量卫生、安全劳保、环保节能等相关法规、标准规范要求。优先选择和采用当前国家重点鼓励发展的设备，禁止选择和采用当前国家明令限制和淘汰的设备，尽量选择具有国际标准、国外先进标准和等效国际标准的设备；</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2</w:t>
      </w:r>
      <w:r>
        <w:rPr>
          <w:rFonts w:hint="eastAsia" w:ascii="仿宋_GB2312" w:eastAsia="仿宋_GB2312" w:cs="宋体"/>
          <w:color w:val="000000" w:themeColor="text1"/>
          <w:szCs w:val="28"/>
          <w:highlight w:val="none"/>
          <w:lang w:val="zh-CN"/>
          <w14:textFill>
            <w14:solidFill>
              <w14:schemeClr w14:val="tx1"/>
            </w14:solidFill>
          </w14:textFill>
        </w:rPr>
        <w:t>）满足产品方案、生产规模、生产工艺参数、物料平衡、能量平衡等方面要求；</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3</w:t>
      </w:r>
      <w:r>
        <w:rPr>
          <w:rFonts w:hint="eastAsia" w:ascii="仿宋_GB2312" w:eastAsia="仿宋_GB2312" w:cs="宋体"/>
          <w:color w:val="000000" w:themeColor="text1"/>
          <w:szCs w:val="28"/>
          <w:highlight w:val="none"/>
          <w:lang w:val="zh-CN"/>
          <w14:textFill>
            <w14:solidFill>
              <w14:schemeClr w14:val="tx1"/>
            </w14:solidFill>
          </w14:textFill>
        </w:rPr>
        <w:t>）满足工艺的要求及生产规模要求；</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4</w:t>
      </w:r>
      <w:r>
        <w:rPr>
          <w:rFonts w:hint="eastAsia" w:ascii="仿宋_GB2312" w:eastAsia="仿宋_GB2312" w:cs="宋体"/>
          <w:color w:val="000000" w:themeColor="text1"/>
          <w:szCs w:val="28"/>
          <w:highlight w:val="none"/>
          <w:lang w:val="zh-CN"/>
          <w14:textFill>
            <w14:solidFill>
              <w14:schemeClr w14:val="tx1"/>
            </w14:solidFill>
          </w14:textFill>
        </w:rPr>
        <w:t>）尽可能的选择节能、环保、高效的设备；</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5</w:t>
      </w:r>
      <w:r>
        <w:rPr>
          <w:rFonts w:hint="eastAsia" w:ascii="仿宋_GB2312" w:eastAsia="仿宋_GB2312" w:cs="宋体"/>
          <w:color w:val="000000" w:themeColor="text1"/>
          <w:szCs w:val="28"/>
          <w:highlight w:val="none"/>
          <w:lang w:val="zh-CN"/>
          <w14:textFill>
            <w14:solidFill>
              <w14:schemeClr w14:val="tx1"/>
            </w14:solidFill>
          </w14:textFill>
        </w:rPr>
        <w:t>）采用自动化程度高、操作简便、易维护、用功少、产量高的设备；</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14:textFill>
            <w14:solidFill>
              <w14:schemeClr w14:val="tx1"/>
            </w14:solidFill>
          </w14:textFill>
        </w:rPr>
        <w:t>6</w:t>
      </w:r>
      <w:r>
        <w:rPr>
          <w:rFonts w:hint="eastAsia" w:ascii="仿宋_GB2312" w:eastAsia="仿宋_GB2312" w:cs="宋体"/>
          <w:color w:val="000000" w:themeColor="text1"/>
          <w:szCs w:val="28"/>
          <w:highlight w:val="none"/>
          <w:lang w:val="zh-CN"/>
          <w14:textFill>
            <w14:solidFill>
              <w14:schemeClr w14:val="tx1"/>
            </w14:solidFill>
          </w14:textFill>
        </w:rPr>
        <w:t>）选用投资少，见效快的高科技设备。</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.2主要设备选型及来源</w:t>
      </w:r>
    </w:p>
    <w:p>
      <w:pPr>
        <w:ind w:firstLine="560"/>
        <w:rPr>
          <w:rFonts w:hint="default"/>
          <w:color w:val="000000" w:themeColor="text1"/>
          <w:highlight w:val="none"/>
          <w:lang w:val="en-US" w:eastAsia="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根据生产工艺的需要，主要设备选用国内先进成熟的定型设备和通用设备，力求降低材料消耗和能源消耗。</w:t>
      </w:r>
      <w:r>
        <w:rPr>
          <w:rFonts w:hint="eastAsia"/>
          <w:color w:val="000000" w:themeColor="text1"/>
          <w:sz w:val="28"/>
          <w:szCs w:val="28"/>
          <w:lang w:val="zh-CN" w:eastAsia="zh-CN"/>
          <w14:textFill>
            <w14:solidFill>
              <w14:schemeClr w14:val="tx1"/>
            </w14:solidFill>
          </w14:textFill>
        </w:rPr>
        <w:t>本项目共购置</w:t>
      </w:r>
      <w:r>
        <w:rPr>
          <w:rFonts w:hint="eastAsia" w:eastAsia="仿宋"/>
          <w:color w:val="000000" w:themeColor="text1"/>
          <w:sz w:val="28"/>
          <w:szCs w:val="28"/>
          <w:lang w:val="en-US" w:eastAsia="zh-CN"/>
          <w14:textFill>
            <w14:solidFill>
              <w14:schemeClr w14:val="tx1"/>
            </w14:solidFill>
          </w14:textFill>
        </w:rPr>
        <w:t>啤酒生产线</w:t>
      </w:r>
      <w:r>
        <w:rPr>
          <w:rFonts w:hint="eastAsia"/>
          <w:color w:val="000000" w:themeColor="text1"/>
          <w:sz w:val="28"/>
          <w:szCs w:val="28"/>
          <w:lang w:val="en-US" w:eastAsia="zh-CN"/>
          <w14:textFill>
            <w14:solidFill>
              <w14:schemeClr w14:val="tx1"/>
            </w14:solidFill>
          </w14:textFill>
        </w:rPr>
        <w:t>设备共计179台（套）</w:t>
      </w:r>
      <w:r>
        <w:rPr>
          <w:rFonts w:hint="eastAsia" w:eastAsia="仿宋"/>
          <w:color w:val="000000" w:themeColor="text1"/>
          <w:sz w:val="28"/>
          <w:szCs w:val="28"/>
          <w:lang w:val="en-US" w:eastAsia="zh-CN"/>
          <w14:textFill>
            <w14:solidFill>
              <w14:schemeClr w14:val="tx1"/>
            </w14:solidFill>
          </w14:textFill>
        </w:rPr>
        <w:t>，包括原料处理系统、糖化系统、发酵系统、酵母扩培系统、</w:t>
      </w:r>
      <w:r>
        <w:rPr>
          <w:rFonts w:hint="eastAsia"/>
          <w:color w:val="000000" w:themeColor="text1"/>
          <w:sz w:val="28"/>
          <w:szCs w:val="28"/>
          <w:lang w:val="en-US" w:eastAsia="zh-CN"/>
          <w14:textFill>
            <w14:solidFill>
              <w14:schemeClr w14:val="tx1"/>
            </w14:solidFill>
          </w14:textFill>
        </w:rPr>
        <w:t>工艺水处理系统</w:t>
      </w:r>
      <w:r>
        <w:rPr>
          <w:rFonts w:hint="eastAsia" w:eastAsia="仿宋"/>
          <w:color w:val="000000" w:themeColor="text1"/>
          <w:sz w:val="28"/>
          <w:szCs w:val="28"/>
          <w:lang w:val="en-US" w:eastAsia="zh-CN"/>
          <w14:textFill>
            <w14:solidFill>
              <w14:schemeClr w14:val="tx1"/>
            </w14:solidFill>
          </w14:textFill>
        </w:rPr>
        <w:t>、空压系统、能源系统、</w:t>
      </w:r>
      <w:r>
        <w:rPr>
          <w:rFonts w:hint="eastAsia"/>
          <w:color w:val="000000" w:themeColor="text1"/>
          <w:sz w:val="28"/>
          <w:szCs w:val="28"/>
          <w:lang w:val="en-US" w:eastAsia="zh-CN"/>
          <w14:textFill>
            <w14:solidFill>
              <w14:schemeClr w14:val="tx1"/>
            </w14:solidFill>
          </w14:textFill>
        </w:rPr>
        <w:t>灌装单元、化验系统、污水处理系统、智能化管理等。</w:t>
      </w:r>
    </w:p>
    <w:p>
      <w:pPr>
        <w:pStyle w:val="14"/>
        <w:keepNext w:val="0"/>
        <w:keepLines w:val="0"/>
        <w:pageBreakBefore w:val="0"/>
        <w:widowControl w:val="0"/>
        <w:kinsoku/>
        <w:wordWrap/>
        <w:overflowPunct/>
        <w:topLinePunct w:val="0"/>
        <w:autoSpaceDE/>
        <w:autoSpaceDN/>
        <w:bidi w:val="0"/>
        <w:adjustRightInd/>
        <w:snapToGrid/>
        <w:spacing w:line="240" w:lineRule="auto"/>
        <w:ind w:firstLine="482"/>
        <w:textAlignment w:val="auto"/>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主要设备一览表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表6-</w:t>
      </w:r>
      <w:r>
        <w:rPr>
          <w:rFonts w:hint="eastAsia"/>
          <w:b/>
          <w:bCs/>
          <w:color w:val="000000" w:themeColor="text1"/>
          <w:sz w:val="21"/>
          <w:szCs w:val="21"/>
          <w:highlight w:val="none"/>
          <w:lang w:val="en-US" w:eastAsia="zh-CN"/>
          <w14:textFill>
            <w14:solidFill>
              <w14:schemeClr w14:val="tx1"/>
            </w14:solidFill>
          </w14:textFill>
        </w:rPr>
        <w:t>6</w:t>
      </w:r>
    </w:p>
    <w:tbl>
      <w:tblPr>
        <w:tblStyle w:val="40"/>
        <w:tblW w:w="5256" w:type="pct"/>
        <w:tblInd w:w="-2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1725"/>
        <w:gridCol w:w="4410"/>
        <w:gridCol w:w="585"/>
        <w:gridCol w:w="645"/>
        <w:gridCol w:w="1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exact"/>
          <w:tblHeader/>
        </w:trPr>
        <w:tc>
          <w:tcPr>
            <w:tcW w:w="499" w:type="pct"/>
            <w:tcBorders>
              <w:top w:val="doub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序号</w:t>
            </w:r>
          </w:p>
        </w:tc>
        <w:tc>
          <w:tcPr>
            <w:tcW w:w="883" w:type="pct"/>
            <w:tcBorders>
              <w:top w:val="doub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设备名称</w:t>
            </w:r>
          </w:p>
        </w:tc>
        <w:tc>
          <w:tcPr>
            <w:tcW w:w="2258" w:type="pct"/>
            <w:tcBorders>
              <w:top w:val="doub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设备规格型号</w:t>
            </w:r>
          </w:p>
        </w:tc>
        <w:tc>
          <w:tcPr>
            <w:tcW w:w="299" w:type="pct"/>
            <w:tcBorders>
              <w:top w:val="doub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单位</w:t>
            </w:r>
          </w:p>
        </w:tc>
        <w:tc>
          <w:tcPr>
            <w:tcW w:w="330" w:type="pct"/>
            <w:tcBorders>
              <w:top w:val="doub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数量</w:t>
            </w:r>
          </w:p>
        </w:tc>
        <w:tc>
          <w:tcPr>
            <w:tcW w:w="729" w:type="pct"/>
            <w:tcBorders>
              <w:top w:val="doub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lang w:val="en-US" w:eastAsia="zh-CN" w:bidi="ar-SA"/>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（一）</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原料处理系统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粉碎机及控温系统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对辊粉碎机粉碎速度为600Kg/h，四辊粉碎机粉碎速度为</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br w:type="textWrapping"/>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1000Kg/h</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麦芽粉碎主机、浸麦系统、喂料系统等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（二）</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糖化系统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40</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糖化锅</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总容积 6200L,有效容积5000L，不锈钢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过滤槽</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总容积 7500L,有效容积 5000L，不锈钢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煮沸锅</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总容积 6500L,有效容积 5000L，不锈钢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漩沉槽</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总容积 6000L,有效容积 5000L，不锈钢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麦汁平衡罐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麦汁检测台</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不锈钢06Cr19Ni10</w:t>
            </w:r>
            <w:r>
              <w:rPr>
                <w:rFonts w:hint="eastAsia" w:cs="仿宋"/>
                <w:color w:val="000000" w:themeColor="text1"/>
                <w:kern w:val="2"/>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配头号麦汁检测取样阀；</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麦汁缓冲箱</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有效/公称容积: 2/2.5m³，碳钢材质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气力螺旋排糟系统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50kg/min，不锈钢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麦糟罐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有效/公称容积</w:t>
            </w:r>
            <w:r>
              <w:rPr>
                <w:rFonts w:hint="eastAsia" w:cs="仿宋"/>
                <w:color w:val="000000" w:themeColor="text1"/>
                <w:kern w:val="2"/>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15/18m³，碳钢材质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麦汁暂存罐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有效/公称容积</w:t>
            </w:r>
            <w:r>
              <w:rPr>
                <w:rFonts w:hint="eastAsia" w:cs="仿宋"/>
                <w:color w:val="000000" w:themeColor="text1"/>
                <w:kern w:val="2"/>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5/6m³，不锈钢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糖化醪泵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IPT糖化专用流量：20m³/h 扬程：18m，不锈钢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过滤泵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10m³/h 扬程：18m，不锈钢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麦汁暂存出泵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30m³/h 扬程：32m，不锈钢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酒花添加罐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100L罐三组式 带压力人孔</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循环泵(旋沉物料泵)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40m³/h 扬程：24m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酒花添加泵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380V，2.2kW， 变频调速；</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麦汁降温泵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20m³/h</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麦汁冷却薄板</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BR4.8A-J-104B</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冷凝水回收罐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3/4m³</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冷凝水回泵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流量2m³/h, 30m扬程，功率2.2kw，不锈钢离心泵;</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蒸汽分配器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DN219</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麦汁充氧酵母添加系统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糖化蒸汽管道</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糖化物料、水、CIP管道</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主管DN65～100，不锈钢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糖化自控系统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糖化自控系统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管道、阀门管件、自控仪表、电控、电缆、动力控制、管架等全部配套系统及安装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热碱罐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酸罐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浓碱罐.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气动隔膜泵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53.4L/min</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板式换热器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双段6导程</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CIP洗涤泵离心泵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20m³/h，扬程50m，不锈钢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CIP洗涤离心泵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30m³/h，25m，不锈钢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糖化CIP系统管路</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（三）</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发酵系统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55</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发酵罐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发酵罐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发酵CIP热碱罐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有效容积4m³</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发酵CIP酸罐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发酵CIP杀菌剂罐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回收水罐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有效容积4m³，不锈钢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有效容积4m³，不锈钢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浓碱罐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0.6m³，不锈钢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气动隔膜泵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53.4L/min，塑料</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板式换热器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热面积20m³</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清酒罐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清酒罐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酒液泵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流量3m³/h,扬程24m，不锈钢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酒液泵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流量5m³/h,扬程24m，不锈钢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CIP洗涤泵离心泵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20m³/h，扬程50m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CIP管路循环加热及洗涤泵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变频控制，不锈钢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CIP洗涤回离心泵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CIP回泵(包装回）</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酵母离心机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5m³/h</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酵母离心机前后缓冲罐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高温杀菌机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5m³/h，不锈钢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管路、阀门系统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含管道、阀门管件、附属于设备钢平台、设备管架等全部配套系统及安装。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CIP控制</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自控系统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上位机管理操作站</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自控系统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（四）</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酵母扩培系统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8</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二级扩培</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 罐、汉生卡氏罐、一级 扩培罐、二级扩培罐，规格：0.2-2m³</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酵母回收罐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2.5/3m³，不锈钢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酵母添加车</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300L</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转子泵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管路、阀门系统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现场仪表、执行阀门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CIP控制</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（五）</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工艺水处理系统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22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原水罐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30m³，不锈钢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原水供泵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30m³/h，不锈钢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原水处理反渗透系统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原水出泵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15m³/h，60m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酿造水罐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15m³/h，40m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15m³/h，40m，不锈钢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热水加热薄板</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热水离心泵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15m³/h，36m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冰水罐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15m³/h，36m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冰水离心泵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15m³/h，36m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3m³/h，22m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酿造水离心泵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15m³/h，36m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酿造水离心泵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20m³/h，32m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管路、阀门系统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（六）</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空压系统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20</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空压机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3m³/min 0.8Mpa</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贮气罐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1m³.碳钢，带安全阀，排污阀</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高效精密过滤器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6m³/min.外壳不锈钢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高效精密过滤器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6m³/min.外壳不锈钢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冷干机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10m³/min.</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蒸汽过滤器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外壳不锈钢，过滤精度1μm, 1Nm' /min.</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无菌过滤器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3Nm³/min.外壳不锈钢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无菌过滤器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1Nm³/min</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无菌过滤器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壳不锈钢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空气分配器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空气分配器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不锈钢</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管路、阀门系统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（七）</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能源系统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21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冷媒罐</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15m³</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低温螺杆式冷水机组</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10万Kcal/h.</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塔水循环离心泵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50m³ /h 扬程24m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冷却塔</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QB4OTB 50m³ /h</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30m³/h，扬程42m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冰水离心泵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40m³/h 扬程32m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7</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40m³/h 扬程30m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8</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离心泵</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10m³/h 扬程50m</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9</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冰水板换</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BRH2.6A-J-12B</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10</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生物质蒸汽锅炉</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1.5T/h  主辅机配套一备一用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2</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蒸汽分配器锅炉</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PN1.0  碳钢材质，压力容器</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锅炉配套设备</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管道、阀门</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自动控制</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系统配套</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（八）</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灌装单元</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9</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vMerge w:val="restar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8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3000CPH 包装成套生产线</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空瓶卸垛机：XGD120。</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vMerge w:val="continue"/>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8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夹瓶输送：CG</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exact"/>
        </w:trPr>
        <w:tc>
          <w:tcPr>
            <w:tcW w:w="499" w:type="pct"/>
            <w:vMerge w:val="continue"/>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8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冲灌压三合一：公称生产能力：50瓶/分（330ml型计算）进、出瓶方向：平行灌装阀数：24个</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9" w:hRule="exact"/>
        </w:trPr>
        <w:tc>
          <w:tcPr>
            <w:tcW w:w="499" w:type="pct"/>
            <w:vMerge w:val="continue"/>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8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杀菌机：</w:t>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br w:type="textWrapping"/>
            </w: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额定生产能力：3000CPH 易拉罐：330ml 结构型式：单层单通道</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液位检测机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WYW60</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巴氏喷淋杀菌隧道</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WP5000，5000罐（瓶）/小时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吹干机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CG-1</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不干胶三标贴标机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JE-3L-CD</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喷码机</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台</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（九）</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化验系统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化验设备</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整套系统化验设备</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污水处理系统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污水处理系统</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30m3/d 的一体化污水处理站</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(十一)</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智能化管理</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exact"/>
        </w:trPr>
        <w:tc>
          <w:tcPr>
            <w:tcW w:w="499" w:type="pct"/>
            <w:tcBorders>
              <w:top w:val="single" w:color="000000" w:sz="4" w:space="0"/>
              <w:left w:val="doub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智能化控制设备</w:t>
            </w:r>
          </w:p>
        </w:tc>
        <w:tc>
          <w:tcPr>
            <w:tcW w:w="2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智能化控制设备、全程自控走线，光缆，中控室，视频监控等，厂家配套供货及设计</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729" w:type="pct"/>
            <w:tcBorders>
              <w:top w:val="single" w:color="000000" w:sz="4" w:space="0"/>
              <w:left w:val="single" w:color="000000" w:sz="4" w:space="0"/>
              <w:bottom w:val="single" w:color="000000" w:sz="4" w:space="0"/>
              <w:right w:val="doub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1382" w:type="pct"/>
            <w:gridSpan w:val="2"/>
            <w:tcBorders>
              <w:top w:val="single" w:color="000000" w:sz="4" w:space="0"/>
              <w:left w:val="double" w:color="000000" w:sz="4" w:space="0"/>
              <w:bottom w:val="doub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合计</w:t>
            </w:r>
          </w:p>
        </w:tc>
        <w:tc>
          <w:tcPr>
            <w:tcW w:w="2258"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299"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c>
          <w:tcPr>
            <w:tcW w:w="330" w:type="pct"/>
            <w:tcBorders>
              <w:top w:val="single" w:color="000000" w:sz="4" w:space="0"/>
              <w:left w:val="single" w:color="000000" w:sz="4" w:space="0"/>
              <w:bottom w:val="doub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179</w:t>
            </w:r>
          </w:p>
        </w:tc>
        <w:tc>
          <w:tcPr>
            <w:tcW w:w="729" w:type="pct"/>
            <w:tcBorders>
              <w:top w:val="single" w:color="000000" w:sz="4" w:space="0"/>
              <w:left w:val="single" w:color="000000" w:sz="4" w:space="0"/>
              <w:bottom w:val="double" w:color="000000" w:sz="4" w:space="0"/>
              <w:right w:val="doub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p>
        </w:tc>
      </w:tr>
    </w:tbl>
    <w:p>
      <w:pPr>
        <w:pStyle w:val="3"/>
        <w:spacing w:before="192" w:after="216"/>
        <w:rPr>
          <w:color w:val="000000" w:themeColor="text1"/>
          <w:highlight w:val="none"/>
          <w14:textFill>
            <w14:solidFill>
              <w14:schemeClr w14:val="tx1"/>
            </w14:solidFill>
          </w14:textFill>
        </w:rPr>
      </w:pPr>
      <w:bookmarkStart w:id="134" w:name="_Toc11226"/>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工程方案</w:t>
      </w:r>
      <w:bookmarkEnd w:id="134"/>
    </w:p>
    <w:bookmarkEnd w:id="119"/>
    <w:bookmarkEnd w:id="120"/>
    <w:bookmarkEnd w:id="121"/>
    <w:bookmarkEnd w:id="122"/>
    <w:bookmarkEnd w:id="123"/>
    <w:bookmarkEnd w:id="124"/>
    <w:bookmarkEnd w:id="125"/>
    <w:bookmarkEnd w:id="126"/>
    <w:bookmarkEnd w:id="127"/>
    <w:bookmarkEnd w:id="128"/>
    <w:bookmarkEnd w:id="129"/>
    <w:p>
      <w:pPr>
        <w:pStyle w:val="4"/>
        <w:ind w:firstLine="600"/>
        <w:rPr>
          <w:color w:val="000000" w:themeColor="text1"/>
          <w14:textFill>
            <w14:solidFill>
              <w14:schemeClr w14:val="tx1"/>
            </w14:solidFill>
          </w14:textFill>
        </w:rPr>
      </w:pPr>
      <w:bookmarkStart w:id="135" w:name="_Toc23334"/>
      <w:bookmarkStart w:id="136" w:name="_Toc6994510"/>
      <w:r>
        <w:rPr>
          <w:rFonts w:hint="eastAsia"/>
          <w:color w:val="000000" w:themeColor="text1"/>
          <w14:textFill>
            <w14:solidFill>
              <w14:schemeClr w14:val="tx1"/>
            </w14:solidFill>
          </w14:textFill>
        </w:rPr>
        <w:t>6.3.1设计依据</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《建筑设计防火规范》（</w:t>
      </w:r>
      <w:r>
        <w:rPr>
          <w:color w:val="000000" w:themeColor="text1"/>
          <w:lang w:val="zh-CN"/>
          <w14:textFill>
            <w14:solidFill>
              <w14:schemeClr w14:val="tx1"/>
            </w14:solidFill>
          </w14:textFill>
        </w:rPr>
        <w:t>GB 50016-2014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 xml:space="preserve">2018 </w:t>
      </w:r>
      <w:r>
        <w:rPr>
          <w:rFonts w:hint="eastAsia"/>
          <w:color w:val="000000" w:themeColor="text1"/>
          <w:lang w:val="zh-CN"/>
          <w14:textFill>
            <w14:solidFill>
              <w14:schemeClr w14:val="tx1"/>
            </w14:solidFill>
          </w14:textFill>
        </w:rPr>
        <w:t>版）；</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《民用建筑设计统一标准》（</w:t>
      </w:r>
      <w:r>
        <w:rPr>
          <w:color w:val="000000" w:themeColor="text1"/>
          <w:lang w:val="zh-CN"/>
          <w14:textFill>
            <w14:solidFill>
              <w14:schemeClr w14:val="tx1"/>
            </w14:solidFill>
          </w14:textFill>
        </w:rPr>
        <w:t>GB 50352-2019</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《屋面工程技术规范》（</w:t>
      </w:r>
      <w:r>
        <w:rPr>
          <w:color w:val="000000" w:themeColor="text1"/>
          <w:lang w:val="zh-CN"/>
          <w14:textFill>
            <w14:solidFill>
              <w14:schemeClr w14:val="tx1"/>
            </w14:solidFill>
          </w14:textFill>
        </w:rPr>
        <w:t>GB 50345-2012</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《工程建设标准强制性条文》（</w:t>
      </w:r>
      <w:r>
        <w:rPr>
          <w:color w:val="000000" w:themeColor="text1"/>
          <w:lang w:val="zh-CN"/>
          <w14:textFill>
            <w14:solidFill>
              <w14:schemeClr w14:val="tx1"/>
            </w14:solidFill>
          </w14:textFill>
        </w:rPr>
        <w:t xml:space="preserve">2013 </w:t>
      </w:r>
      <w:r>
        <w:rPr>
          <w:rFonts w:hint="eastAsia"/>
          <w:color w:val="000000" w:themeColor="text1"/>
          <w:lang w:val="zh-CN"/>
          <w14:textFill>
            <w14:solidFill>
              <w14:schemeClr w14:val="tx1"/>
            </w14:solidFill>
          </w14:textFill>
        </w:rPr>
        <w:t>年版）；</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《钢结构设计规范》（</w:t>
      </w:r>
      <w:r>
        <w:rPr>
          <w:color w:val="000000" w:themeColor="text1"/>
          <w:lang w:val="zh-CN"/>
          <w14:textFill>
            <w14:solidFill>
              <w14:schemeClr w14:val="tx1"/>
            </w14:solidFill>
          </w14:textFill>
        </w:rPr>
        <w:t>GB 50017-2017</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《工业建筑节能设计统一标准》</w:t>
      </w:r>
      <w:r>
        <w:rPr>
          <w:color w:val="000000" w:themeColor="text1"/>
          <w:lang w:val="zh-CN"/>
          <w14:textFill>
            <w14:solidFill>
              <w14:schemeClr w14:val="tx1"/>
            </w14:solidFill>
          </w14:textFill>
        </w:rPr>
        <w:t>(GB 51245-2017)</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《外墙外保温工程技术规程》（</w:t>
      </w:r>
      <w:r>
        <w:rPr>
          <w:color w:val="000000" w:themeColor="text1"/>
          <w:lang w:val="zh-CN"/>
          <w14:textFill>
            <w14:solidFill>
              <w14:schemeClr w14:val="tx1"/>
            </w14:solidFill>
          </w14:textFill>
        </w:rPr>
        <w:t>JGJ 144-2004</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《洁净厂房设计规范》（GB 50073-2013）；</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《食品工业洁净用房建筑技术规范》（GB 50687-2011）；</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《建筑工程设计文件编制深度规定》</w:t>
      </w:r>
      <w:r>
        <w:rPr>
          <w:color w:val="000000" w:themeColor="text1"/>
          <w:lang w:val="zh-CN"/>
          <w14:textFill>
            <w14:solidFill>
              <w14:schemeClr w14:val="tx1"/>
            </w14:solidFill>
          </w14:textFill>
        </w:rPr>
        <w:t xml:space="preserve">(2016 </w:t>
      </w:r>
      <w:r>
        <w:rPr>
          <w:rFonts w:hint="eastAsia"/>
          <w:color w:val="000000" w:themeColor="text1"/>
          <w:lang w:val="zh-CN"/>
          <w14:textFill>
            <w14:solidFill>
              <w14:schemeClr w14:val="tx1"/>
            </w14:solidFill>
          </w14:textFill>
        </w:rPr>
        <w:t>年版</w:t>
      </w:r>
      <w:r>
        <w:rPr>
          <w:color w:val="000000" w:themeColor="text1"/>
          <w:lang w:val="zh-CN"/>
          <w14:textFill>
            <w14:solidFill>
              <w14:schemeClr w14:val="tx1"/>
            </w14:solidFill>
          </w14:textFill>
        </w:rPr>
        <w:t>)</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《门式刚架轻型房屋钢结构技术规范》（</w:t>
      </w:r>
      <w:r>
        <w:rPr>
          <w:color w:val="000000" w:themeColor="text1"/>
          <w:lang w:val="zh-CN"/>
          <w14:textFill>
            <w14:solidFill>
              <w14:schemeClr w14:val="tx1"/>
            </w14:solidFill>
          </w14:textFill>
        </w:rPr>
        <w:t>GB 51022-2015</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《建筑内部装修设计防火规范》（</w:t>
      </w:r>
      <w:r>
        <w:rPr>
          <w:color w:val="000000" w:themeColor="text1"/>
          <w:lang w:val="zh-CN"/>
          <w14:textFill>
            <w14:solidFill>
              <w14:schemeClr w14:val="tx1"/>
            </w14:solidFill>
          </w14:textFill>
        </w:rPr>
        <w:t>GB50222-2017</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《建筑防烟排烟系统技术标准》（</w:t>
      </w:r>
      <w:r>
        <w:rPr>
          <w:color w:val="000000" w:themeColor="text1"/>
          <w:lang w:val="zh-CN"/>
          <w14:textFill>
            <w14:solidFill>
              <w14:schemeClr w14:val="tx1"/>
            </w14:solidFill>
          </w14:textFill>
        </w:rPr>
        <w:t>GB51251-2017</w:t>
      </w:r>
      <w:r>
        <w:rPr>
          <w:rFonts w:hint="eastAsia"/>
          <w:color w:val="000000" w:themeColor="text1"/>
          <w:lang w:val="zh-CN"/>
          <w14:textFill>
            <w14:solidFill>
              <w14:schemeClr w14:val="tx1"/>
            </w14:solidFill>
          </w14:textFill>
        </w:rPr>
        <w:t>）；</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《建筑钢结构防火技术规范》（GB51249-2017）；</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《关于进一步加强我省民用建筑首层外墙外保温设计的通知》（青建设〔</w:t>
      </w:r>
      <w:r>
        <w:rPr>
          <w:color w:val="000000" w:themeColor="text1"/>
          <w:lang w:val="zh-CN"/>
          <w14:textFill>
            <w14:solidFill>
              <w14:schemeClr w14:val="tx1"/>
            </w14:solidFill>
          </w14:textFill>
        </w:rPr>
        <w:t>2014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 xml:space="preserve">348 </w:t>
      </w:r>
      <w:r>
        <w:rPr>
          <w:rFonts w:hint="eastAsia"/>
          <w:color w:val="000000" w:themeColor="text1"/>
          <w:lang w:val="zh-CN"/>
          <w14:textFill>
            <w14:solidFill>
              <w14:schemeClr w14:val="tx1"/>
            </w14:solidFill>
          </w14:textFill>
        </w:rPr>
        <w:t>号）。</w:t>
      </w:r>
    </w:p>
    <w:p>
      <w:pPr>
        <w:pStyle w:val="4"/>
        <w:ind w:firstLine="600"/>
        <w:rPr>
          <w:color w:val="000000" w:themeColor="text1"/>
          <w14:textFill>
            <w14:solidFill>
              <w14:schemeClr w14:val="tx1"/>
            </w14:solidFill>
          </w14:textFill>
        </w:rPr>
      </w:pPr>
      <w:r>
        <w:rPr>
          <w:rFonts w:hint="eastAsia"/>
          <w:color w:val="000000" w:themeColor="text1"/>
          <w14:textFill>
            <w14:solidFill>
              <w14:schemeClr w14:val="tx1"/>
            </w14:solidFill>
          </w14:textFill>
        </w:rPr>
        <w:t>6.3.2设计理念</w:t>
      </w:r>
      <w:bookmarkEnd w:id="135"/>
      <w:bookmarkEnd w:id="136"/>
    </w:p>
    <w:p>
      <w:pPr>
        <w:ind w:firstLine="560"/>
        <w:rPr>
          <w:color w:val="000000" w:themeColor="text1"/>
          <w14:textFill>
            <w14:solidFill>
              <w14:schemeClr w14:val="tx1"/>
            </w14:solidFill>
          </w14:textFill>
        </w:rPr>
      </w:pPr>
      <w:bookmarkStart w:id="137" w:name="_Toc32003"/>
      <w:r>
        <w:rPr>
          <w:rFonts w:hint="eastAsia"/>
          <w:color w:val="000000" w:themeColor="text1"/>
          <w14:textFill>
            <w14:solidFill>
              <w14:schemeClr w14:val="tx1"/>
            </w14:solidFill>
          </w14:textFill>
        </w:rPr>
        <w:t>（1）按照科学发展观的要求遵循国家经济建设的方针政策，从囊谦县实际情况出发，立足当前，兼顾发展，统筹规划；</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（2）符合当地县城和产业园规划；</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（3）总平面布置应符合功能要求，做到布局合理、流程通畅的原则。</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（4）合理利用土地，确定合理的建设规模，完善多样化生产设施，满足生产加工的需求。</w:t>
      </w:r>
    </w:p>
    <w:bookmarkEnd w:id="137"/>
    <w:p>
      <w:pPr>
        <w:pStyle w:val="4"/>
        <w:ind w:firstLine="600"/>
        <w:rPr>
          <w:color w:val="000000" w:themeColor="text1"/>
          <w14:textFill>
            <w14:solidFill>
              <w14:schemeClr w14:val="tx1"/>
            </w14:solidFill>
          </w14:textFill>
        </w:rPr>
      </w:pPr>
      <w:bookmarkStart w:id="138" w:name="_Toc5488"/>
      <w:bookmarkStart w:id="139" w:name="_Toc435196590"/>
      <w:r>
        <w:rPr>
          <w:rFonts w:hint="eastAsia"/>
          <w:color w:val="000000" w:themeColor="text1"/>
          <w14:textFill>
            <w14:solidFill>
              <w14:schemeClr w14:val="tx1"/>
            </w14:solidFill>
          </w14:textFill>
        </w:rPr>
        <w:t>6.3.3总平面布置</w:t>
      </w:r>
    </w:p>
    <w:p>
      <w:pPr>
        <w:ind w:firstLine="560"/>
        <w:rPr>
          <w:bCs/>
          <w:color w:val="000000" w:themeColor="text1"/>
          <w:kern w:val="44"/>
          <w14:textFill>
            <w14:solidFill>
              <w14:schemeClr w14:val="tx1"/>
            </w14:solidFill>
          </w14:textFill>
        </w:rPr>
      </w:pPr>
      <w:r>
        <w:rPr>
          <w:rFonts w:hint="eastAsia"/>
          <w:color w:val="000000" w:themeColor="text1"/>
          <w14:textFill>
            <w14:solidFill>
              <w14:schemeClr w14:val="tx1"/>
            </w14:solidFill>
          </w14:textFill>
        </w:rPr>
        <w:t>本项目位于</w:t>
      </w:r>
      <w:r>
        <w:rPr>
          <w:rFonts w:hint="eastAsia" w:ascii="仿宋" w:hAnsi="仿宋" w:eastAsia="仿宋" w:cs="仿宋"/>
          <w:color w:val="000000" w:themeColor="text1"/>
          <w:sz w:val="28"/>
          <w:szCs w:val="28"/>
          <w:lang w:val="zh-CN"/>
          <w14:textFill>
            <w14:solidFill>
              <w14:schemeClr w14:val="tx1"/>
            </w14:solidFill>
          </w14:textFill>
        </w:rPr>
        <w:t>囊谦县</w:t>
      </w:r>
      <w:r>
        <w:rPr>
          <w:rFonts w:hint="eastAsia" w:cs="仿宋"/>
          <w:color w:val="000000" w:themeColor="text1"/>
          <w:sz w:val="28"/>
          <w:szCs w:val="28"/>
          <w:lang w:val="zh-CN"/>
          <w14:textFill>
            <w14:solidFill>
              <w14:schemeClr w14:val="tx1"/>
            </w14:solidFill>
          </w14:textFill>
        </w:rPr>
        <w:t>香达镇</w:t>
      </w:r>
      <w:r>
        <w:rPr>
          <w:rFonts w:hint="eastAsia"/>
          <w:color w:val="000000" w:themeColor="text1"/>
          <w14:textFill>
            <w14:solidFill>
              <w14:schemeClr w14:val="tx1"/>
            </w14:solidFill>
          </w14:textFill>
        </w:rPr>
        <w:t>扶贫产业园内</w:t>
      </w:r>
      <w:r>
        <w:rPr>
          <w:rFonts w:hint="eastAsia"/>
          <w:color w:val="000000" w:themeColor="text1"/>
          <w:lang w:val="zh-CN"/>
          <w14:textFill>
            <w14:solidFill>
              <w14:schemeClr w14:val="tx1"/>
            </w14:solidFill>
          </w14:textFill>
        </w:rPr>
        <w:t>。生产车间依托位于</w:t>
      </w:r>
      <w:r>
        <w:rPr>
          <w:rFonts w:hint="eastAsia"/>
          <w:color w:val="000000" w:themeColor="text1"/>
          <w14:textFill>
            <w14:solidFill>
              <w14:schemeClr w14:val="tx1"/>
            </w14:solidFill>
          </w14:textFill>
        </w:rPr>
        <w:t>囊谦县扶贫产业园东北侧</w:t>
      </w:r>
      <w:r>
        <w:rPr>
          <w:rFonts w:hint="eastAsia" w:ascii="Times New Roman" w:hAnsi="Times New Roman" w:cs="Times New Roman"/>
          <w:color w:val="000000" w:themeColor="text1"/>
          <w14:textFill>
            <w14:solidFill>
              <w14:schemeClr w14:val="tx1"/>
            </w14:solidFill>
          </w14:textFill>
        </w:rPr>
        <w:t>园区现有车间。加工车间西侧为配电室、锅炉房，南侧为空地</w:t>
      </w:r>
      <w:r>
        <w:rPr>
          <w:rFonts w:hint="eastAsia"/>
          <w:color w:val="000000" w:themeColor="text1"/>
          <w14:textFill>
            <w14:solidFill>
              <w14:schemeClr w14:val="tx1"/>
            </w14:solidFill>
          </w14:textFill>
        </w:rPr>
        <w:t>。</w:t>
      </w:r>
      <w:r>
        <w:rPr>
          <w:rFonts w:hint="eastAsia"/>
          <w:bCs/>
          <w:color w:val="000000" w:themeColor="text1"/>
          <w:kern w:val="44"/>
          <w14:textFill>
            <w14:solidFill>
              <w14:schemeClr w14:val="tx1"/>
            </w14:solidFill>
          </w14:textFill>
        </w:rPr>
        <w:t>生产车间</w:t>
      </w:r>
      <w:r>
        <w:rPr>
          <w:bCs/>
          <w:color w:val="000000" w:themeColor="text1"/>
          <w:kern w:val="44"/>
          <w14:textFill>
            <w14:solidFill>
              <w14:schemeClr w14:val="tx1"/>
            </w14:solidFill>
          </w14:textFill>
        </w:rPr>
        <w:t>划分为清洁作业区、准清洁作业区和一般作业区。</w:t>
      </w:r>
      <w:r>
        <w:rPr>
          <w:rFonts w:hint="eastAsia"/>
          <w:bCs/>
          <w:color w:val="000000" w:themeColor="text1"/>
          <w:kern w:val="44"/>
          <w14:textFill>
            <w14:solidFill>
              <w14:schemeClr w14:val="tx1"/>
            </w14:solidFill>
          </w14:textFill>
        </w:rPr>
        <w:t>生产车间各功能分区如下：</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1 \* GB3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①</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清洁作业区</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包括酵母扩培间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扩培工序全部在密闭罐及管道内进行的除外。 </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2 \* GB3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②</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准清洁作业区</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 xml:space="preserve">包括水处理间、糖化间、发酵间、过滤间、清酒间、采用自动灌装设备的熟啤酒灌装间(区域)、外包装间等。 </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 3 \* GB3 \* MERGEFORMAT </w:instrText>
      </w:r>
      <w:r>
        <w:rPr>
          <w:rFonts w:hint="eastAsia"/>
          <w:color w:val="000000" w:themeColor="text1"/>
          <w14:textFill>
            <w14:solidFill>
              <w14:schemeClr w14:val="tx1"/>
            </w14:solidFill>
          </w14:textFill>
        </w:rPr>
        <w:fldChar w:fldCharType="separate"/>
      </w:r>
      <w:r>
        <w:rPr>
          <w:color w:val="000000" w:themeColor="text1"/>
          <w14:textFill>
            <w14:solidFill>
              <w14:schemeClr w14:val="tx1"/>
            </w14:solidFill>
          </w14:textFill>
        </w:rPr>
        <w:t>③</w:t>
      </w:r>
      <w:r>
        <w:rPr>
          <w:rFonts w:hint="eastAsia"/>
          <w:color w:val="000000" w:themeColor="text1"/>
          <w14:textFill>
            <w14:solidFill>
              <w14:schemeClr w14:val="tx1"/>
            </w14:solidFill>
          </w14:textFill>
        </w:rPr>
        <w:fldChar w:fldCharType="end"/>
      </w:r>
      <w:r>
        <w:rPr>
          <w:color w:val="000000" w:themeColor="text1"/>
          <w14:textFill>
            <w14:solidFill>
              <w14:schemeClr w14:val="tx1"/>
            </w14:solidFill>
          </w14:textFill>
        </w:rPr>
        <w:t>一般作业区</w:t>
      </w:r>
    </w:p>
    <w:p>
      <w:pPr>
        <w:ind w:firstLine="560"/>
        <w:rPr>
          <w:bCs/>
          <w:color w:val="000000" w:themeColor="text1"/>
          <w:kern w:val="44"/>
          <w14:textFill>
            <w14:solidFill>
              <w14:schemeClr w14:val="tx1"/>
            </w14:solidFill>
          </w14:textFill>
        </w:rPr>
      </w:pPr>
      <w:r>
        <w:rPr>
          <w:color w:val="000000" w:themeColor="text1"/>
          <w14:textFill>
            <w14:solidFill>
              <w14:schemeClr w14:val="tx1"/>
            </w14:solidFill>
          </w14:textFill>
        </w:rPr>
        <w:t>包括原辅料仓库、包装材料仓库、成品仓库、动力辅房等。</w:t>
      </w:r>
    </w:p>
    <w:p>
      <w:pPr>
        <w:ind w:firstLine="0" w:firstLineChars="0"/>
        <w:jc w:val="center"/>
        <w:rPr>
          <w:bCs/>
          <w:color w:val="000000" w:themeColor="text1"/>
          <w:kern w:val="44"/>
          <w14:textFill>
            <w14:solidFill>
              <w14:schemeClr w14:val="tx1"/>
            </w14:solidFill>
          </w14:textFill>
        </w:rPr>
      </w:pPr>
      <w:r>
        <w:rPr>
          <w:bCs/>
          <w:color w:val="000000" w:themeColor="text1"/>
          <w:kern w:val="44"/>
          <w14:textFill>
            <w14:solidFill>
              <w14:schemeClr w14:val="tx1"/>
            </w14:solidFill>
          </w14:textFill>
        </w:rPr>
        <w:drawing>
          <wp:inline distT="0" distB="0" distL="114300" distR="114300">
            <wp:extent cx="5665470" cy="2513965"/>
            <wp:effectExtent l="0" t="0" r="1143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srcRect l="1443" t="13822" r="3206"/>
                    <a:stretch>
                      <a:fillRect/>
                    </a:stretch>
                  </pic:blipFill>
                  <pic:spPr>
                    <a:xfrm>
                      <a:off x="0" y="0"/>
                      <a:ext cx="5665470" cy="2513965"/>
                    </a:xfrm>
                    <a:prstGeom prst="rect">
                      <a:avLst/>
                    </a:prstGeom>
                    <a:noFill/>
                    <a:ln w="9525">
                      <a:noFill/>
                      <a:miter lim="800000"/>
                      <a:headEnd/>
                      <a:tailEnd/>
                    </a:ln>
                  </pic:spPr>
                </pic:pic>
              </a:graphicData>
            </a:graphic>
          </wp:inline>
        </w:drawing>
      </w:r>
    </w:p>
    <w:p>
      <w:pPr>
        <w:pStyle w:val="39"/>
        <w:ind w:firstLine="482"/>
        <w:jc w:val="center"/>
        <w:rPr>
          <w:b/>
          <w:color w:val="000000" w:themeColor="text1"/>
          <w:kern w:val="44"/>
          <w:sz w:val="24"/>
          <w:szCs w:val="24"/>
          <w14:textFill>
            <w14:solidFill>
              <w14:schemeClr w14:val="tx1"/>
            </w14:solidFill>
          </w14:textFill>
        </w:rPr>
      </w:pPr>
      <w:r>
        <w:rPr>
          <w:rFonts w:hint="eastAsia"/>
          <w:b/>
          <w:color w:val="000000" w:themeColor="text1"/>
          <w:kern w:val="44"/>
          <w:sz w:val="24"/>
          <w:szCs w:val="24"/>
          <w14:textFill>
            <w14:solidFill>
              <w14:schemeClr w14:val="tx1"/>
            </w14:solidFill>
          </w14:textFill>
        </w:rPr>
        <w:t>图6-5 总平面布置图</w:t>
      </w:r>
    </w:p>
    <w:p>
      <w:pPr>
        <w:pStyle w:val="4"/>
        <w:ind w:firstLine="600"/>
        <w:rPr>
          <w:color w:val="000000" w:themeColor="text1"/>
          <w14:textFill>
            <w14:solidFill>
              <w14:schemeClr w14:val="tx1"/>
            </w14:solidFill>
          </w14:textFill>
        </w:rPr>
      </w:pPr>
      <w:r>
        <w:rPr>
          <w:rFonts w:hint="eastAsia"/>
          <w:color w:val="000000" w:themeColor="text1"/>
          <w14:textFill>
            <w14:solidFill>
              <w14:schemeClr w14:val="tx1"/>
            </w14:solidFill>
          </w14:textFill>
        </w:rPr>
        <w:t>6.3.4主体工程</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w:t>
      </w:r>
      <w:bookmarkEnd w:id="138"/>
      <w:bookmarkEnd w:id="139"/>
      <w:r>
        <w:rPr>
          <w:rFonts w:hint="eastAsia"/>
          <w:color w:val="000000" w:themeColor="text1"/>
          <w14:textFill>
            <w14:solidFill>
              <w14:schemeClr w14:val="tx1"/>
            </w14:solidFill>
          </w14:textFill>
        </w:rPr>
        <w:t>改建生产车间现状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原有车间为一层，结构形式为门式刚架轻型房屋钢结构，耐火等级为二级，火灾危险性分类为丙类，建筑面积为1082.52㎡，总建筑高度7.00m，室内外高差为0.20m，建筑设置四个出入口。</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（2）生产车间改造</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生产车间为地上一层门式刚架结构建筑，原设计总建筑面积</w:t>
      </w:r>
      <w:r>
        <w:rPr>
          <w:color w:val="000000" w:themeColor="text1"/>
          <w14:textFill>
            <w14:solidFill>
              <w14:schemeClr w14:val="tx1"/>
            </w14:solidFill>
          </w14:textFill>
        </w:rPr>
        <w:t>1082.52㎡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本次改造后面积</w:t>
      </w:r>
      <w:r>
        <w:rPr>
          <w:color w:val="000000" w:themeColor="text1"/>
          <w14:textFill>
            <w14:solidFill>
              <w14:schemeClr w14:val="tx1"/>
            </w14:solidFill>
          </w14:textFill>
        </w:rPr>
        <w:t>1248.14㎡，包括一层面积1082.52㎡，参观走道面积165.62㎡</w:t>
      </w:r>
      <w:r>
        <w:rPr>
          <w:rFonts w:hint="eastAsia"/>
          <w:color w:val="000000" w:themeColor="text1"/>
          <w14:textFill>
            <w14:solidFill>
              <w14:schemeClr w14:val="tx1"/>
            </w14:solidFill>
          </w14:textFill>
        </w:rPr>
        <w:t>，设置有黑青稞啤酒生产线1条（丙类），包括麦芽仓库、包材仓库、辅料仓库、麦芽粉碎间、糖化系统车间、发酵系统车间、酵母扩培系统车间、灌装间、空压间、锅炉间、化验室、水处理间、制净间；消控室、空调机房、排烟机房、员工更衣间及卫生间、员工通道、参观走廊等。</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（3）立面设计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本次改造设计保留原有建筑立面风格，根据建筑内各功能房间的要求及防火疏散要求局部调整门窗位置，外立面不做改造。</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（4）剖面设计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原有车间为地上一层门式刚架结构，建筑高度</w:t>
      </w:r>
      <w:r>
        <w:rPr>
          <w:color w:val="000000" w:themeColor="text1"/>
          <w14:textFill>
            <w14:solidFill>
              <w14:schemeClr w14:val="tx1"/>
            </w14:solidFill>
          </w14:textFill>
        </w:rPr>
        <w:t>6.00m</w:t>
      </w:r>
      <w:r>
        <w:rPr>
          <w:rFonts w:hint="eastAsia"/>
          <w:color w:val="000000" w:themeColor="text1"/>
          <w14:textFill>
            <w14:solidFill>
              <w14:schemeClr w14:val="tx1"/>
            </w14:solidFill>
          </w14:textFill>
        </w:rPr>
        <w:t>，室内外高差为</w:t>
      </w:r>
      <w:r>
        <w:rPr>
          <w:color w:val="000000" w:themeColor="text1"/>
          <w14:textFill>
            <w14:solidFill>
              <w14:schemeClr w14:val="tx1"/>
            </w14:solidFill>
          </w14:textFill>
        </w:rPr>
        <w:t>0.20m</w:t>
      </w:r>
      <w:r>
        <w:rPr>
          <w:rFonts w:hint="eastAsia"/>
          <w:color w:val="000000" w:themeColor="text1"/>
          <w14:textFill>
            <w14:solidFill>
              <w14:schemeClr w14:val="tx1"/>
            </w14:solidFill>
          </w14:textFill>
        </w:rPr>
        <w:t>。现在员工通道上部加设参观走道，参观走道采用燃烧性能不低于</w:t>
      </w:r>
      <w:r>
        <w:rPr>
          <w:color w:val="000000" w:themeColor="text1"/>
          <w14:textFill>
            <w14:solidFill>
              <w14:schemeClr w14:val="tx1"/>
            </w14:solidFill>
          </w14:textFill>
        </w:rPr>
        <w:t>1.0h的</w:t>
      </w:r>
      <w:r>
        <w:rPr>
          <w:rFonts w:hint="eastAsia"/>
          <w:color w:val="000000" w:themeColor="text1"/>
          <w14:textFill>
            <w14:solidFill>
              <w14:schemeClr w14:val="tx1"/>
            </w14:solidFill>
          </w14:textFill>
        </w:rPr>
        <w:t>防火安全玻璃，整体为封闭式，只在走道两端设直通室外的安全出口，员工通道层高为3.3</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，参观走道层高2.7</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；厂房中</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\o\ac(○,C)</w:instrTex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\o\ac(○,D)</w:instrText>
      </w:r>
      <w:r>
        <w:rPr>
          <w:color w:val="000000" w:themeColor="text1"/>
          <w14:textFill>
            <w14:solidFill>
              <w14:schemeClr w14:val="tx1"/>
            </w14:solidFill>
          </w14:textFill>
        </w:rPr>
        <w:fldChar w:fldCharType="end"/>
      </w:r>
      <w:r>
        <w:rPr>
          <w:color w:val="000000" w:themeColor="text1"/>
          <w14:textFill>
            <w14:solidFill>
              <w14:schemeClr w14:val="tx1"/>
            </w14:solidFill>
          </w14:textFill>
        </w:rPr>
        <w:t>之间除</w:t>
      </w:r>
      <w:r>
        <w:rPr>
          <w:rFonts w:hint="eastAsia"/>
          <w:color w:val="000000" w:themeColor="text1"/>
          <w14:textFill>
            <w14:solidFill>
              <w14:schemeClr w14:val="tx1"/>
            </w14:solidFill>
          </w14:textFill>
        </w:rPr>
        <w:t>麦芽仓库外，均在3.3</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处设石膏板吊顶，车间内其余功能车间在5.6</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处设金属板吊顶。</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（5）建筑材料及装修标准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地面（燃烧性能等级B2级）：彩色聚氨酯地面，面层为1.2厚彩色聚氨酯涂层（其他构造均按原有设计）；采用细石混凝土地面；防滑防水地砖面层；防静电环氧砂浆地面。</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楼面（燃烧性能等级B2级）：水泥砂浆楼面；5厚花纹钢板（涂刷防火涂料）。</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内墙面（燃烧性能等级B1级）：内墙为200厚加砌混凝土砌块；0.6mm厚铝硅镁装饰板墙（耐火极限≥4h）。</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顶棚（燃烧性能等级A级）：金属板吊顶，采用0.5-0.8厚金属板（材质及颜色由室内装饰定）；防火石膏板吊顶。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门窗：窗户采用</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系列铝塑节能保温窗。出入口处的外门采用成品三防门。</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室内装修材料：室内装修时装修材料应为不燃烧环保材料，且室内各部位装修材料的燃烧性能等级应满足《建筑内部装修设计防火规范》6.0.1条规定。装修施工图纸须报消防部门审核后方可实施装修，装修完毕应经消防部门验收及有资质的环境监测单位进行室内环境检测达标方可交付使用。</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（6）建筑防火分区及疏散设计</w:t>
      </w:r>
    </w:p>
    <w:p>
      <w:pPr>
        <w:ind w:firstLine="560"/>
        <w:rPr>
          <w:color w:val="000000" w:themeColor="text1"/>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本车间为地上一层，结构形式为门式刚架结构，耐火等级为二级，火灾危险性分类为丙类，本次改造后面积1248.14㎡，包括一层面积1082.52㎡，参观走道面积165.62㎡</w:t>
      </w:r>
      <w:r>
        <w:rPr>
          <w:rFonts w:hint="eastAsia" w:ascii="仿宋" w:hAnsi="仿宋" w:eastAsia="仿宋" w:cs="仿宋"/>
          <w:bCs/>
          <w:color w:val="000000" w:themeColor="text1"/>
          <w:kern w:val="44"/>
          <w:sz w:val="28"/>
          <w:szCs w:val="28"/>
          <w14:textFill>
            <w14:solidFill>
              <w14:schemeClr w14:val="tx1"/>
            </w14:solidFill>
          </w14:textFill>
        </w:rPr>
        <w:t>，</w:t>
      </w:r>
      <w:r>
        <w:rPr>
          <w:rFonts w:hint="eastAsia"/>
          <w:color w:val="000000" w:themeColor="text1"/>
          <w14:textFill>
            <w14:solidFill>
              <w14:schemeClr w14:val="tx1"/>
            </w14:solidFill>
          </w14:textFill>
        </w:rPr>
        <w:t>为一个防火分区；车间面积大于250㎡的功能房间均设有2个直通室外安全疏散出口，厂房内任意一点至最近安全出口的距离均小于80</w:t>
      </w:r>
      <w:r>
        <w:rPr>
          <w:rFonts w:hint="eastAsia"/>
          <w:color w:val="000000" w:themeColor="text1"/>
          <w:lang w:val="en-US" w:eastAsia="zh-CN"/>
          <w14:textFill>
            <w14:solidFill>
              <w14:schemeClr w14:val="tx1"/>
            </w14:solidFill>
          </w14:textFill>
        </w:rPr>
        <w:t>m</w:t>
      </w:r>
      <w:r>
        <w:rPr>
          <w:rFonts w:hint="eastAsia"/>
          <w:color w:val="000000" w:themeColor="text1"/>
          <w14:textFill>
            <w14:solidFill>
              <w14:schemeClr w14:val="tx1"/>
            </w14:solidFill>
          </w14:textFill>
        </w:rPr>
        <w:t>；厂房两个通道均在两端各设有两个直通室外安全疏散出口；车间与周围建筑之间的防火间距均大于</w:t>
      </w:r>
      <w:r>
        <w:rPr>
          <w:color w:val="000000" w:themeColor="text1"/>
          <w14:textFill>
            <w14:solidFill>
              <w14:schemeClr w14:val="tx1"/>
            </w14:solidFill>
          </w14:textFill>
        </w:rPr>
        <w:t>10.00m</w:t>
      </w:r>
      <w:r>
        <w:rPr>
          <w:rFonts w:hint="eastAsia"/>
          <w:color w:val="000000" w:themeColor="text1"/>
          <w14:textFill>
            <w14:solidFill>
              <w14:schemeClr w14:val="tx1"/>
            </w14:solidFill>
          </w14:textFill>
        </w:rPr>
        <w:t>，满足建筑防火要求。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总平面道路布置。车行道宽度为≥</w:t>
      </w:r>
      <w:r>
        <w:rPr>
          <w:color w:val="000000" w:themeColor="text1"/>
          <w14:textFill>
            <w14:solidFill>
              <w14:schemeClr w14:val="tx1"/>
            </w14:solidFill>
          </w14:textFill>
        </w:rPr>
        <w:t>4.00m</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转弯半径为</w:t>
      </w:r>
      <w:r>
        <w:rPr>
          <w:color w:val="000000" w:themeColor="text1"/>
          <w14:textFill>
            <w14:solidFill>
              <w14:schemeClr w14:val="tx1"/>
            </w14:solidFill>
          </w14:textFill>
        </w:rPr>
        <w:t>6.00m</w:t>
      </w:r>
      <w:r>
        <w:rPr>
          <w:rFonts w:hint="eastAsia"/>
          <w:color w:val="000000" w:themeColor="text1"/>
          <w14:textFill>
            <w14:solidFill>
              <w14:schemeClr w14:val="tx1"/>
            </w14:solidFill>
          </w14:textFill>
        </w:rPr>
        <w:t>，并围绕车间形成环道，用地出入口与场地中道路直接相通。</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（7）生产车间改造洁净厂房要求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生产车间划分为清洁作业区、准清洁作业区和一般作业区。清洁作业区、准清洁作业区按洁净厂房要求进行改造为</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万级净化车间，改造面积450㎡。</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改造内容包括室内地面、墙面、顶棚、线路改造等，改造做法如下：</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地面：彩色聚氨酯地面，面层为1.2厚彩色聚氨酯涂层（其他构造均按原有设计）。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内墙面：内墙为200厚加砌混凝土砌块；0.6mm厚铝硅镁装饰板墙（耐火极限≥4h）。</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顶棚：金属板吊顶，采用0.5-0.8厚金属板（材质及颜色由室内装饰定）。</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产品在生产区生产工艺设备中已解决洁净的要求，生产车间清洁作业区、准清洁作业区空气洁净度级别为</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万级，沉降菌数＜50，设有空气净化系统，详见暖通图纸。</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产品清洁作业区、准清洁作业区域整个生产过程在密封的环境中进行，与室外空气无接触，在生产区生产工艺设备中已解决洁净的要求，且生产车间的降尘在设备除尘器中解决，设备除尘器过滤面积约450㎡，过滤风速1.0-1.5（m/min），清洁作业区、准清洁作业区的粉尘浓度不得超过 10mg/m³，排除室外的空气粉尘浓度不得超过100mg/m³。</w:t>
      </w:r>
    </w:p>
    <w:p>
      <w:pPr>
        <w:pStyle w:val="4"/>
        <w:ind w:firstLine="600"/>
        <w:rPr>
          <w:rFonts w:hint="eastAsia"/>
          <w:color w:val="000000" w:themeColor="text1"/>
          <w:highlight w:val="none"/>
          <w:lang w:eastAsia="zh-CN"/>
          <w14:textFill>
            <w14:solidFill>
              <w14:schemeClr w14:val="tx1"/>
            </w14:solidFill>
          </w14:textFill>
        </w:rPr>
      </w:pPr>
      <w:bookmarkStart w:id="140" w:name="_Toc15934"/>
      <w:bookmarkStart w:id="141" w:name="_Toc417456184"/>
      <w:bookmarkStart w:id="142" w:name="_Toc11757"/>
      <w:bookmarkStart w:id="143" w:name="_Toc511749576"/>
      <w:bookmarkStart w:id="144" w:name="_Toc413831554"/>
      <w:bookmarkStart w:id="145" w:name="_Toc488147863"/>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结构设计</w:t>
      </w:r>
    </w:p>
    <w:p>
      <w:pPr>
        <w:pStyle w:val="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）设计依据</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《建筑设计防火规范》（</w:t>
      </w:r>
      <w:r>
        <w:rPr>
          <w:color w:val="000000" w:themeColor="text1"/>
          <w:lang w:val="zh-CN"/>
          <w14:textFill>
            <w14:solidFill>
              <w14:schemeClr w14:val="tx1"/>
            </w14:solidFill>
          </w14:textFill>
        </w:rPr>
        <w:t>GB 50016-2014</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 xml:space="preserve">2018 </w:t>
      </w:r>
      <w:r>
        <w:rPr>
          <w:rFonts w:hint="eastAsia"/>
          <w:color w:val="000000" w:themeColor="text1"/>
          <w:lang w:val="zh-CN"/>
          <w14:textFill>
            <w14:solidFill>
              <w14:schemeClr w14:val="tx1"/>
            </w14:solidFill>
          </w14:textFill>
        </w:rPr>
        <w:t>版）；</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《建筑结构可靠度设计统一标准》(GB50068-2018)</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《工程建设标准强制性条文》（</w:t>
      </w:r>
      <w:r>
        <w:rPr>
          <w:color w:val="000000" w:themeColor="text1"/>
          <w:lang w:val="zh-CN"/>
          <w14:textFill>
            <w14:solidFill>
              <w14:schemeClr w14:val="tx1"/>
            </w14:solidFill>
          </w14:textFill>
        </w:rPr>
        <w:t xml:space="preserve">2013 </w:t>
      </w:r>
      <w:r>
        <w:rPr>
          <w:rFonts w:hint="eastAsia"/>
          <w:color w:val="000000" w:themeColor="text1"/>
          <w:lang w:val="zh-CN"/>
          <w14:textFill>
            <w14:solidFill>
              <w14:schemeClr w14:val="tx1"/>
            </w14:solidFill>
          </w14:textFill>
        </w:rPr>
        <w:t>年版）；</w:t>
      </w:r>
    </w:p>
    <w:p>
      <w:pPr>
        <w:bidi w:val="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《钢结构设计规范》（</w:t>
      </w:r>
      <w:r>
        <w:rPr>
          <w:color w:val="000000" w:themeColor="text1"/>
          <w:lang w:val="zh-CN"/>
          <w14:textFill>
            <w14:solidFill>
              <w14:schemeClr w14:val="tx1"/>
            </w14:solidFill>
          </w14:textFill>
        </w:rPr>
        <w:t>GB 50017-2017</w:t>
      </w:r>
      <w:r>
        <w:rPr>
          <w:rFonts w:hint="eastAsia"/>
          <w:color w:val="000000" w:themeColor="text1"/>
          <w:lang w:val="zh-CN"/>
          <w14:textFill>
            <w14:solidFill>
              <w14:schemeClr w14:val="tx1"/>
            </w14:solidFill>
          </w14:textFill>
        </w:rPr>
        <w:t>）；</w:t>
      </w:r>
    </w:p>
    <w:p>
      <w:pPr>
        <w:numPr>
          <w:ilvl w:val="0"/>
          <w:numId w:val="0"/>
        </w:numPr>
        <w:bidi w:val="0"/>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《建筑结构荷载规范》(GB50009-2012)；</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《建筑抗震设计规范》(GB50011-2010)（2016年版）；</w:t>
      </w:r>
    </w:p>
    <w:p>
      <w:pPr>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《钢结构工程施工质量验收规范》（GB50205-2020）；</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《建筑工程设计文件编制深度规定》(2016 年版)；</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《门式刚架轻型房屋钢结构技术规范》（GB 51022-2015）</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《混凝土结构设计规范》GB50010-2010)（2015年版）</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《建筑抗震设防分类标准》(GB50223-2008)</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《建筑地基基础设计规范》  (GB50007-2011)</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《钢结构焊接规范》(GB50661-2011)</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《钢结构高强度螺栓连接技术规程》  (JGJ82-2011)</w:t>
      </w:r>
    </w:p>
    <w:p>
      <w:pPr>
        <w:bidi w:val="0"/>
        <w:ind w:left="0" w:leftChars="0"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《工业建筑防腐蚀设计规范》 (GB/T50046-2018)</w:t>
      </w:r>
    </w:p>
    <w:p>
      <w:pPr>
        <w:pStyle w:val="5"/>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）工程概况</w:t>
      </w:r>
    </w:p>
    <w:p>
      <w:pPr>
        <w:numPr>
          <w:ilvl w:val="0"/>
          <w:numId w:val="0"/>
        </w:numPr>
        <w:ind w:firstLine="560" w:firstLineChars="200"/>
        <w:rPr>
          <w:rFonts w:hint="eastAsia" w:ascii="宋体" w:hAnsi="宋体" w:eastAsia="仿宋" w:cs="宋体"/>
          <w:color w:val="000000" w:themeColor="text1"/>
          <w:sz w:val="28"/>
          <w:szCs w:val="28"/>
          <w:lang w:eastAsia="zh-CN"/>
          <w14:textFill>
            <w14:solidFill>
              <w14:schemeClr w14:val="tx1"/>
            </w14:solidFill>
          </w14:textFill>
        </w:rPr>
      </w:pPr>
      <w:r>
        <w:rPr>
          <w:rFonts w:hint="eastAsia"/>
          <w:color w:val="000000" w:themeColor="text1"/>
          <w:lang w:eastAsia="zh-CN"/>
          <w14:textFill>
            <w14:solidFill>
              <w14:schemeClr w14:val="tx1"/>
            </w14:solidFill>
          </w14:textFill>
        </w:rPr>
        <w:t>本工程</w:t>
      </w:r>
      <w:r>
        <w:rPr>
          <w:rFonts w:hint="eastAsia"/>
          <w:color w:val="000000" w:themeColor="text1"/>
          <w:lang w:val="en-US" w:eastAsia="zh-CN"/>
          <w14:textFill>
            <w14:solidFill>
              <w14:schemeClr w14:val="tx1"/>
            </w14:solidFill>
          </w14:textFill>
        </w:rPr>
        <w:t>所在地</w:t>
      </w:r>
      <w:r>
        <w:rPr>
          <w:rFonts w:hint="eastAsia"/>
          <w:color w:val="000000" w:themeColor="text1"/>
          <w:highlight w:val="none"/>
          <w14:textFill>
            <w14:solidFill>
              <w14:schemeClr w14:val="tx1"/>
            </w14:solidFill>
          </w14:textFill>
        </w:rPr>
        <w:t>囊谦县香达镇</w:t>
      </w:r>
      <w:r>
        <w:rPr>
          <w:rFonts w:hint="eastAsia"/>
          <w:color w:val="000000" w:themeColor="text1"/>
          <w:lang w:val="en-US" w:eastAsia="zh-CN"/>
          <w14:textFill>
            <w14:solidFill>
              <w14:schemeClr w14:val="tx1"/>
            </w14:solidFill>
          </w14:textFill>
        </w:rPr>
        <w:t>位于</w:t>
      </w:r>
      <w:r>
        <w:rPr>
          <w:rFonts w:hint="eastAsia"/>
          <w:color w:val="000000" w:themeColor="text1"/>
          <w:highlight w:val="none"/>
          <w14:textFill>
            <w14:solidFill>
              <w14:schemeClr w14:val="tx1"/>
            </w14:solidFill>
          </w14:textFill>
        </w:rPr>
        <w:t>青海省最南部，玉树的东南部，与西藏昌都地区接壤。</w:t>
      </w:r>
      <w:r>
        <w:rPr>
          <w:rFonts w:hint="eastAsia"/>
          <w:color w:val="000000" w:themeColor="text1"/>
          <w:lang w:eastAsia="zh-CN"/>
          <w14:textFill>
            <w14:solidFill>
              <w14:schemeClr w14:val="tx1"/>
            </w14:solidFill>
          </w14:textFill>
        </w:rPr>
        <w:t>将</w:t>
      </w:r>
      <w:r>
        <w:rPr>
          <w:rFonts w:hint="eastAsia"/>
          <w:color w:val="000000" w:themeColor="text1"/>
          <w14:textFill>
            <w14:solidFill>
              <w14:schemeClr w14:val="tx1"/>
            </w14:solidFill>
          </w14:textFill>
        </w:rPr>
        <w:t>原有车间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一层门式刚架轻型房屋钢结构</w:t>
      </w:r>
      <w:r>
        <w:rPr>
          <w:rFonts w:hint="eastAsia"/>
          <w:color w:val="000000" w:themeColor="text1"/>
          <w:lang w:eastAsia="zh-CN"/>
          <w14:textFill>
            <w14:solidFill>
              <w14:schemeClr w14:val="tx1"/>
            </w14:solidFill>
          </w14:textFill>
        </w:rPr>
        <w:t>）进行改造，本次改造不改变原有建筑结构形式，改造</w:t>
      </w:r>
      <w:r>
        <w:rPr>
          <w:rFonts w:hint="eastAsia"/>
          <w:color w:val="000000" w:themeColor="text1"/>
          <w14:textFill>
            <w14:solidFill>
              <w14:schemeClr w14:val="tx1"/>
            </w14:solidFill>
          </w14:textFill>
        </w:rPr>
        <w:t>设置有黑青稞啤酒生产线1条（丙类），包括麦芽仓库、包材仓库、辅料仓库、麦芽粉碎间、糖化系统车间、发酵系统车间、酵母扩培系统车间、灌装间、空压间、锅炉间、化验室、水处理间、制净间；消控室、空调机房、排烟机房、员工更衣间及卫生间、员工通道、参观走廊等</w:t>
      </w:r>
      <w:r>
        <w:rPr>
          <w:rFonts w:hint="eastAsia"/>
          <w:color w:val="000000" w:themeColor="text1"/>
          <w:lang w:eastAsia="zh-CN"/>
          <w14:textFill>
            <w14:solidFill>
              <w14:schemeClr w14:val="tx1"/>
            </w14:solidFill>
          </w14:textFill>
        </w:rPr>
        <w:t>，其中只有参观走道涉及结构改造。</w:t>
      </w:r>
    </w:p>
    <w:p>
      <w:pPr>
        <w:pStyle w:val="5"/>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参观走道</w:t>
      </w:r>
      <w:r>
        <w:rPr>
          <w:rFonts w:hint="eastAsia"/>
          <w:color w:val="000000" w:themeColor="text1"/>
          <w:lang w:val="en-US" w:eastAsia="zh-CN"/>
          <w14:textFill>
            <w14:solidFill>
              <w14:schemeClr w14:val="tx1"/>
            </w14:solidFill>
          </w14:textFill>
        </w:rPr>
        <w:t>结构</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highlight w:val="none"/>
          <w14:textFill>
            <w14:solidFill>
              <w14:schemeClr w14:val="tx1"/>
            </w14:solidFill>
          </w14:textFill>
        </w:rPr>
        <w:t>参观走道</w:t>
      </w:r>
      <w:r>
        <w:rPr>
          <w:rFonts w:hint="eastAsia" w:ascii="宋体" w:hAnsi="宋体" w:cs="宋体"/>
          <w:color w:val="000000" w:themeColor="text1"/>
          <w:sz w:val="28"/>
          <w:szCs w:val="28"/>
          <w14:textFill>
            <w14:solidFill>
              <w14:schemeClr w14:val="tx1"/>
            </w14:solidFill>
          </w14:textFill>
        </w:rPr>
        <w:t>层数</w:t>
      </w:r>
      <w:r>
        <w:rPr>
          <w:rFonts w:ascii="宋体" w:hAnsi="宋体" w:cs="宋体"/>
          <w:color w:val="000000" w:themeColor="text1"/>
          <w:sz w:val="28"/>
          <w:szCs w:val="28"/>
          <w14:textFill>
            <w14:solidFill>
              <w14:schemeClr w14:val="tx1"/>
            </w14:solidFill>
          </w14:textFill>
        </w:rPr>
        <w:t>为一层</w:t>
      </w:r>
      <w:r>
        <w:rPr>
          <w:rFonts w:hint="eastAsia" w:ascii="宋体" w:hAnsi="宋体" w:cs="宋体"/>
          <w:color w:val="000000" w:themeColor="text1"/>
          <w:sz w:val="28"/>
          <w:szCs w:val="28"/>
          <w14:textFill>
            <w14:solidFill>
              <w14:schemeClr w14:val="tx1"/>
            </w14:solidFill>
          </w14:textFill>
        </w:rPr>
        <w:t>，层高</w:t>
      </w:r>
      <w:r>
        <w:rPr>
          <w:rFonts w:ascii="宋体" w:hAnsi="宋体" w:cs="宋体"/>
          <w:color w:val="000000" w:themeColor="text1"/>
          <w:sz w:val="28"/>
          <w:szCs w:val="28"/>
          <w14:textFill>
            <w14:solidFill>
              <w14:schemeClr w14:val="tx1"/>
            </w14:solidFill>
          </w14:textFill>
        </w:rPr>
        <w:t>为</w:t>
      </w:r>
      <w:r>
        <w:rPr>
          <w:rFonts w:hint="eastAsia" w:ascii="宋体" w:hAnsi="宋体" w:cs="宋体"/>
          <w:color w:val="000000" w:themeColor="text1"/>
          <w:sz w:val="28"/>
          <w:szCs w:val="28"/>
          <w:lang w:val="en-US" w:eastAsia="zh-CN"/>
          <w14:textFill>
            <w14:solidFill>
              <w14:schemeClr w14:val="tx1"/>
            </w14:solidFill>
          </w14:textFill>
        </w:rPr>
        <w:t>3.290</w:t>
      </w:r>
      <w:r>
        <w:rPr>
          <w:rFonts w:hint="eastAsia" w:ascii="宋体" w:hAnsi="宋体" w:cs="宋体"/>
          <w:color w:val="000000" w:themeColor="text1"/>
          <w:sz w:val="28"/>
          <w:szCs w:val="28"/>
          <w14:textFill>
            <w14:solidFill>
              <w14:schemeClr w14:val="tx1"/>
            </w14:solidFill>
          </w14:textFill>
        </w:rPr>
        <w:t>m（除去</w:t>
      </w:r>
      <w:r>
        <w:rPr>
          <w:rFonts w:ascii="宋体" w:hAnsi="宋体" w:cs="宋体"/>
          <w:color w:val="000000" w:themeColor="text1"/>
          <w:sz w:val="28"/>
          <w:szCs w:val="28"/>
          <w14:textFill>
            <w14:solidFill>
              <w14:schemeClr w14:val="tx1"/>
            </w14:solidFill>
          </w14:textFill>
        </w:rPr>
        <w:t>底板建筑面层</w:t>
      </w:r>
      <w:r>
        <w:rPr>
          <w:rFonts w:hint="eastAsia" w:ascii="宋体" w:hAnsi="宋体" w:cs="宋体"/>
          <w:color w:val="000000" w:themeColor="text1"/>
          <w:sz w:val="28"/>
          <w:szCs w:val="28"/>
          <w14:textFill>
            <w14:solidFill>
              <w14:schemeClr w14:val="tx1"/>
            </w14:solidFill>
          </w14:textFill>
        </w:rPr>
        <w:t>），建筑长</w:t>
      </w:r>
      <w:r>
        <w:rPr>
          <w:rFonts w:hint="eastAsia" w:ascii="宋体" w:hAnsi="宋体" w:cs="宋体"/>
          <w:color w:val="000000" w:themeColor="text1"/>
          <w:sz w:val="28"/>
          <w:szCs w:val="28"/>
          <w:lang w:val="en-US" w:eastAsia="zh-CN"/>
          <w14:textFill>
            <w14:solidFill>
              <w14:schemeClr w14:val="tx1"/>
            </w14:solidFill>
          </w14:textFill>
        </w:rPr>
        <w:t>56.6</w:t>
      </w:r>
      <w:r>
        <w:rPr>
          <w:rFonts w:hint="eastAsia" w:ascii="宋体" w:hAnsi="宋体" w:cs="宋体"/>
          <w:color w:val="000000" w:themeColor="text1"/>
          <w:sz w:val="28"/>
          <w:szCs w:val="28"/>
          <w14:textFill>
            <w14:solidFill>
              <w14:schemeClr w14:val="tx1"/>
            </w14:solidFill>
          </w14:textFill>
        </w:rPr>
        <w:t>m，宽度</w:t>
      </w:r>
      <w:r>
        <w:rPr>
          <w:rFonts w:ascii="宋体" w:hAnsi="宋体" w:cs="宋体"/>
          <w:color w:val="000000" w:themeColor="text1"/>
          <w:sz w:val="28"/>
          <w:szCs w:val="28"/>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1</w:t>
      </w:r>
      <w:r>
        <w:rPr>
          <w:rFonts w:ascii="宋体" w:hAnsi="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t>m，结构形式为</w:t>
      </w:r>
      <w:r>
        <w:rPr>
          <w:rFonts w:hint="eastAsia" w:ascii="宋体" w:hAnsi="宋体" w:cs="宋体"/>
          <w:color w:val="000000" w:themeColor="text1"/>
          <w:sz w:val="28"/>
          <w:szCs w:val="28"/>
          <w:lang w:val="en-US" w:eastAsia="zh-CN"/>
          <w14:textFill>
            <w14:solidFill>
              <w14:schemeClr w14:val="tx1"/>
            </w14:solidFill>
          </w14:textFill>
        </w:rPr>
        <w:t>钢框架结构，</w:t>
      </w:r>
      <w:r>
        <w:rPr>
          <w:rFonts w:hint="eastAsia"/>
          <w:color w:val="000000" w:themeColor="text1"/>
          <w:lang w:eastAsia="zh-CN"/>
          <w14:textFill>
            <w14:solidFill>
              <w14:schemeClr w14:val="tx1"/>
            </w14:solidFill>
          </w14:textFill>
        </w:rPr>
        <w:t>抗震等级为三级。</w:t>
      </w:r>
      <w:r>
        <w:rPr>
          <w:rFonts w:hint="eastAsia"/>
          <w:color w:val="000000" w:themeColor="text1"/>
          <w:lang w:val="en-US" w:eastAsia="zh-CN"/>
          <w14:textFill>
            <w14:solidFill>
              <w14:schemeClr w14:val="tx1"/>
            </w14:solidFill>
          </w14:textFill>
        </w:rPr>
        <w:t>楼面铺设花纹钢板，厚度为5mm。</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参观走道</w:t>
      </w:r>
      <w:r>
        <w:rPr>
          <w:rFonts w:hint="eastAsia"/>
          <w:color w:val="000000" w:themeColor="text1"/>
          <w:highlight w:val="none"/>
          <w:lang w:val="en-US" w:eastAsia="zh-CN"/>
          <w14:textFill>
            <w14:solidFill>
              <w14:schemeClr w14:val="tx1"/>
            </w14:solidFill>
          </w14:textFill>
        </w:rPr>
        <w:t>基础形式为C30钢筋混凝土独立基础，基础埋深-1.5m，基础持力层为</w:t>
      </w:r>
      <w:r>
        <w:rPr>
          <w:rFonts w:hint="eastAsia"/>
          <w:color w:val="000000" w:themeColor="text1"/>
          <w:highlight w:val="none"/>
          <w14:textFill>
            <w14:solidFill>
              <w14:schemeClr w14:val="tx1"/>
            </w14:solidFill>
          </w14:textFill>
        </w:rPr>
        <w:t>2层卵石层，承载力为350kPa。</w:t>
      </w:r>
    </w:p>
    <w:p>
      <w:pPr>
        <w:pStyle w:val="5"/>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（4）建筑分类等级</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本工程结构设计基准期为50年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工程中单体建筑结构安全等级均为二级，重要性系数为1.0</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地基基础设计等级均为</w:t>
      </w:r>
      <w:r>
        <w:rPr>
          <w:rFonts w:hint="eastAsia"/>
          <w:color w:val="000000" w:themeColor="text1"/>
          <w:highlight w:val="none"/>
          <w:lang w:val="en-US" w:eastAsia="zh-CN"/>
          <w14:textFill>
            <w14:solidFill>
              <w14:schemeClr w14:val="tx1"/>
            </w14:solidFill>
          </w14:textFill>
        </w:rPr>
        <w:t>丙</w:t>
      </w:r>
      <w:r>
        <w:rPr>
          <w:rFonts w:hint="eastAsia"/>
          <w:color w:val="000000" w:themeColor="text1"/>
          <w:highlight w:val="none"/>
          <w14:textFill>
            <w14:solidFill>
              <w14:schemeClr w14:val="tx1"/>
            </w14:solidFill>
          </w14:textFill>
        </w:rPr>
        <w:t>级。建筑抗震设防类别本工程中所有单体建筑抗震设防类别均为标准设防（丙）类</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砌体结构施工质量控制等级为B级。</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（5）地震参数</w:t>
      </w:r>
    </w:p>
    <w:p>
      <w:pPr>
        <w:bidi w:val="0"/>
        <w:rPr>
          <w:rFonts w:hint="eastAsia" w:eastAsia="仿宋"/>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根据最新地震动参数区划，抗震设防烈度为7度，场地类别为Ⅱ类，设计基本地震加速度值为0.10g，设计地震分组为第二组，设计特征周期值为0.40（s）</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水平地震影响系数最大值为0.08</w:t>
      </w:r>
      <w:r>
        <w:rPr>
          <w:rFonts w:hint="eastAsia"/>
          <w:color w:val="000000" w:themeColor="text1"/>
          <w:lang w:eastAsia="zh-CN"/>
          <w14:textFill>
            <w14:solidFill>
              <w14:schemeClr w14:val="tx1"/>
            </w14:solidFill>
          </w14:textFill>
        </w:rPr>
        <w:t>，抗震结构等级为三级。</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（6）荷载设计</w:t>
      </w:r>
    </w:p>
    <w:p>
      <w:pPr>
        <w:ind w:firstLine="56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参观走道</w:t>
      </w:r>
      <w:r>
        <w:rPr>
          <w:rFonts w:hint="eastAsia"/>
          <w:color w:val="000000" w:themeColor="text1"/>
          <w:highlight w:val="none"/>
          <w:lang w:val="en-US" w:eastAsia="zh-CN"/>
          <w14:textFill>
            <w14:solidFill>
              <w14:schemeClr w14:val="tx1"/>
            </w14:solidFill>
          </w14:textFill>
        </w:rPr>
        <w:t>活荷载2</w:t>
      </w:r>
      <w:r>
        <w:rPr>
          <w:rFonts w:hint="eastAsia"/>
          <w:color w:val="000000" w:themeColor="text1"/>
          <w:highlight w:val="none"/>
          <w14:textFill>
            <w14:solidFill>
              <w14:schemeClr w14:val="tx1"/>
            </w14:solidFill>
          </w14:textFill>
        </w:rPr>
        <w:t>.0kN/㎡</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机房活荷载7</w:t>
      </w:r>
      <w:r>
        <w:rPr>
          <w:rFonts w:hint="eastAsia"/>
          <w:color w:val="000000" w:themeColor="text1"/>
          <w:highlight w:val="none"/>
          <w14:textFill>
            <w14:solidFill>
              <w14:schemeClr w14:val="tx1"/>
            </w14:solidFill>
          </w14:textFill>
        </w:rPr>
        <w:t>.0kN/㎡</w:t>
      </w:r>
      <w:r>
        <w:rPr>
          <w:rFonts w:hint="eastAsia"/>
          <w:color w:val="000000" w:themeColor="text1"/>
          <w:highlight w:val="none"/>
          <w:lang w:eastAsia="zh-CN"/>
          <w14:textFill>
            <w14:solidFill>
              <w14:schemeClr w14:val="tx1"/>
            </w14:solidFill>
          </w14:textFill>
        </w:rPr>
        <w:t>；钢楼梯荷载按2.0kN/m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 xml:space="preserve"> ，栏杆顶部的水平荷载为1.0kN/m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，竖向荷载为1.2kN/m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（7）主要结构材料</w:t>
      </w:r>
    </w:p>
    <w:p>
      <w:pPr>
        <w:ind w:firstLine="56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基础、</w:t>
      </w:r>
      <w:r>
        <w:rPr>
          <w:rFonts w:hint="eastAsia"/>
          <w:color w:val="000000" w:themeColor="text1"/>
          <w:highlight w:val="none"/>
          <w:lang w:val="en-US" w:eastAsia="zh-CN"/>
          <w14:textFill>
            <w14:solidFill>
              <w14:schemeClr w14:val="tx1"/>
            </w14:solidFill>
          </w14:textFill>
        </w:rPr>
        <w:t>短</w:t>
      </w:r>
      <w:r>
        <w:rPr>
          <w:rFonts w:hint="eastAsia"/>
          <w:color w:val="000000" w:themeColor="text1"/>
          <w:highlight w:val="none"/>
          <w14:textFill>
            <w14:solidFill>
              <w14:schemeClr w14:val="tx1"/>
            </w14:solidFill>
          </w14:textFill>
        </w:rPr>
        <w:t>柱钢筋钢筋等受力主筋均采用HRB400，fy、fy’=360N/mm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其他采用HPB300，fy、fy’=270N/mm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混凝土等级C30；</w:t>
      </w:r>
      <w:r>
        <w:rPr>
          <w:rFonts w:hint="eastAsia"/>
          <w:color w:val="000000" w:themeColor="text1"/>
          <w:highlight w:val="none"/>
          <w14:textFill>
            <w14:solidFill>
              <w14:schemeClr w14:val="tx1"/>
            </w14:solidFill>
          </w14:textFill>
        </w:rPr>
        <w:t>主要构件钢材选用Q345，柱脚、檩条等构件采用Q235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焊HPB300钢筋时，焊条采用E43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焊HRB400钢筋时，焊条采用E55</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焊缝高度为6mm。</w:t>
      </w:r>
      <w:r>
        <w:rPr>
          <w:rFonts w:hint="eastAsia"/>
          <w:color w:val="000000" w:themeColor="text1"/>
          <w:highlight w:val="none"/>
          <w:lang w:val="en-US" w:eastAsia="zh-CN"/>
          <w14:textFill>
            <w14:solidFill>
              <w14:schemeClr w14:val="tx1"/>
            </w14:solidFill>
          </w14:textFill>
        </w:rPr>
        <w:t>型钢、钢板</w:t>
      </w:r>
      <w:r>
        <w:rPr>
          <w:rFonts w:hint="eastAsia"/>
          <w:color w:val="000000" w:themeColor="text1"/>
          <w:highlight w:val="none"/>
          <w:lang w:val="en-US" w:eastAsia="en-US"/>
          <w14:textFill>
            <w14:solidFill>
              <w14:schemeClr w14:val="tx1"/>
            </w14:solidFill>
          </w14:textFill>
        </w:rPr>
        <w:t>Q235</w:t>
      </w:r>
      <w:r>
        <w:rPr>
          <w:rFonts w:hint="eastAsia"/>
          <w:color w:val="000000" w:themeColor="text1"/>
          <w:highlight w:val="none"/>
          <w:lang w:val="en-US" w:eastAsia="zh-CN"/>
          <w14:textFill>
            <w14:solidFill>
              <w14:schemeClr w14:val="tx1"/>
            </w14:solidFill>
          </w14:textFill>
        </w:rPr>
        <w:t>型；砖砌体：MU20多孔砖，</w:t>
      </w:r>
      <w:r>
        <w:rPr>
          <w:rFonts w:hint="eastAsia"/>
          <w:color w:val="000000" w:themeColor="text1"/>
          <w:highlight w:val="none"/>
          <w:lang w:val="en-US" w:eastAsia="en-US"/>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10水泥砂浆。</w:t>
      </w:r>
    </w:p>
    <w:p>
      <w:pPr>
        <w:numPr>
          <w:ilvl w:val="0"/>
          <w:numId w:val="0"/>
        </w:numPr>
        <w:ind w:firstLine="56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钢筋的强度标准值应具有不小于95%的保证率；受力预埋件锚筋，预制构件吊环严禁采用冷加工钢筋。吊环应采用Q235钢，吊环埋入混凝土的深度不应小于30d，并应绑扎在钢筋骨架上。钢筋的抗拉强度实测值与屈服强度实测值的比值不应小于1.25；钢筋的屈服强度实测值与强度标准值的比值不应大于1.3；且钢筋在最大拉力下的总伸长率实测值不应小于9%。</w:t>
      </w:r>
    </w:p>
    <w:p>
      <w:pPr>
        <w:numPr>
          <w:ilvl w:val="0"/>
          <w:numId w:val="0"/>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钢材的屈服强度实测值与抗拉强度实测值的比值不应大于0.85。钢材应有明显的屈服台阶，且伸长率不应小于20%。钢材应有良好的可焊性和合格的冲击韧性。选用的钢材应具有抗拉强度、屈服强度、伸长率、常温冲击韧性和碳、硫、磷含量的合格保证。对大跨度钢梁和钢桁架还应具有冷弯试验的合格保证。处于室外环境的钢构件应具有在-20°C冲击韧性的合格保证。承重结构所用的钢材应具有屈服强度、抗拉强度、断后伸长率和硫、磷含量的合格保证，对焊接结构尚应具有碳当量的合格保证。焊接承重结构以及重要的非焊接承重结构采用的钢材应具有冷弯试验的合格保证；对直接承受动力荷载或需验算疲劳的构件所用钢材尚应具有冲击韧性的合格保证。</w:t>
      </w:r>
    </w:p>
    <w:p>
      <w:pPr>
        <w:pStyle w:val="4"/>
        <w:ind w:firstLine="600"/>
        <w:rPr>
          <w:rFonts w:hint="eastAsia" w:eastAsia="方正大标宋简体"/>
          <w:bCs w:val="0"/>
          <w:color w:val="000000" w:themeColor="text1"/>
          <w:lang w:eastAsia="zh-CN"/>
          <w14:textFill>
            <w14:solidFill>
              <w14:schemeClr w14:val="tx1"/>
            </w14:solidFill>
          </w14:textFill>
        </w:rPr>
      </w:pPr>
      <w:r>
        <w:rPr>
          <w:rFonts w:hint="eastAsia"/>
          <w:bCs w:val="0"/>
          <w:color w:val="000000" w:themeColor="text1"/>
          <w14:textFill>
            <w14:solidFill>
              <w14:schemeClr w14:val="tx1"/>
            </w14:solidFill>
          </w14:textFill>
        </w:rPr>
        <w:t>6.</w:t>
      </w:r>
      <w:r>
        <w:rPr>
          <w:rFonts w:hint="eastAsia"/>
          <w:bCs w:val="0"/>
          <w:color w:val="000000" w:themeColor="text1"/>
          <w:lang w:val="en-US" w:eastAsia="zh-CN"/>
          <w14:textFill>
            <w14:solidFill>
              <w14:schemeClr w14:val="tx1"/>
            </w14:solidFill>
          </w14:textFill>
        </w:rPr>
        <w:t>3.5</w:t>
      </w:r>
      <w:r>
        <w:rPr>
          <w:rFonts w:hint="eastAsia"/>
          <w:bCs w:val="0"/>
          <w:color w:val="000000" w:themeColor="text1"/>
          <w14:textFill>
            <w14:solidFill>
              <w14:schemeClr w14:val="tx1"/>
            </w14:solidFill>
          </w14:textFill>
        </w:rPr>
        <w:t>给排水</w:t>
      </w:r>
      <w:bookmarkEnd w:id="140"/>
      <w:bookmarkStart w:id="146" w:name="_Toc29378"/>
      <w:r>
        <w:rPr>
          <w:rFonts w:hint="eastAsia"/>
          <w:bCs w:val="0"/>
          <w:color w:val="000000" w:themeColor="text1"/>
          <w:lang w:eastAsia="zh-CN"/>
          <w14:textFill>
            <w14:solidFill>
              <w14:schemeClr w14:val="tx1"/>
            </w14:solidFill>
          </w14:textFill>
        </w:rPr>
        <w:t>工程</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（1）设计依据</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《建筑设计防火规范》（GB 50016-2014）（2018年版）；</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《建筑给水排水设计</w:t>
      </w:r>
      <w:r>
        <w:rPr>
          <w:rFonts w:hint="eastAsia"/>
          <w:color w:val="000000" w:themeColor="text1"/>
          <w14:textFill>
            <w14:solidFill>
              <w14:schemeClr w14:val="tx1"/>
            </w14:solidFill>
          </w14:textFill>
        </w:rPr>
        <w:t>标准</w:t>
      </w:r>
      <w:r>
        <w:rPr>
          <w:rFonts w:hint="eastAsia"/>
          <w:color w:val="000000" w:themeColor="text1"/>
          <w:lang w:val="zh-CN"/>
          <w14:textFill>
            <w14:solidFill>
              <w14:schemeClr w14:val="tx1"/>
            </w14:solidFill>
          </w14:textFill>
        </w:rPr>
        <w:t>》（GB 50015-20</w:t>
      </w:r>
      <w:r>
        <w:rPr>
          <w:rFonts w:hint="eastAsia"/>
          <w:color w:val="000000" w:themeColor="text1"/>
          <w14:textFill>
            <w14:solidFill>
              <w14:schemeClr w14:val="tx1"/>
            </w14:solidFill>
          </w14:textFill>
        </w:rPr>
        <w:t>19</w:t>
      </w:r>
      <w:r>
        <w:rPr>
          <w:rFonts w:hint="eastAsia"/>
          <w:color w:val="000000" w:themeColor="text1"/>
          <w:lang w:val="zh-CN"/>
          <w14:textFill>
            <w14:solidFill>
              <w14:schemeClr w14:val="tx1"/>
            </w14:solidFill>
          </w14:textFill>
        </w:rPr>
        <w:t>）；</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《室外给水设计标准》（GB 50013-201</w:t>
      </w:r>
      <w:r>
        <w:rPr>
          <w:rFonts w:hint="eastAsia"/>
          <w:color w:val="000000" w:themeColor="text1"/>
          <w14:textFill>
            <w14:solidFill>
              <w14:schemeClr w14:val="tx1"/>
            </w14:solidFill>
          </w14:textFill>
        </w:rPr>
        <w:t>8</w:t>
      </w:r>
      <w:r>
        <w:rPr>
          <w:rFonts w:hint="eastAsia"/>
          <w:color w:val="000000" w:themeColor="text1"/>
          <w:lang w:val="zh-CN"/>
          <w14:textFill>
            <w14:solidFill>
              <w14:schemeClr w14:val="tx1"/>
            </w14:solidFill>
          </w14:textFill>
        </w:rPr>
        <w:t>）；</w:t>
      </w:r>
    </w:p>
    <w:p>
      <w:pPr>
        <w:bidi w:val="0"/>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《室外排水设计</w:t>
      </w:r>
      <w:r>
        <w:rPr>
          <w:rFonts w:hint="eastAsia"/>
          <w:color w:val="000000" w:themeColor="text1"/>
          <w14:textFill>
            <w14:solidFill>
              <w14:schemeClr w14:val="tx1"/>
            </w14:solidFill>
          </w14:textFill>
        </w:rPr>
        <w:t>标准</w:t>
      </w:r>
      <w:r>
        <w:rPr>
          <w:rFonts w:hint="eastAsia"/>
          <w:color w:val="000000" w:themeColor="text1"/>
          <w:lang w:val="zh-CN"/>
          <w14:textFill>
            <w14:solidFill>
              <w14:schemeClr w14:val="tx1"/>
            </w14:solidFill>
          </w14:textFill>
        </w:rPr>
        <w:t>》（GB 50014-20</w:t>
      </w:r>
      <w:r>
        <w:rPr>
          <w:rFonts w:hint="eastAsia"/>
          <w:color w:val="000000" w:themeColor="text1"/>
          <w14:textFill>
            <w14:solidFill>
              <w14:schemeClr w14:val="tx1"/>
            </w14:solidFill>
          </w14:textFill>
        </w:rPr>
        <w:t>21</w:t>
      </w:r>
      <w:r>
        <w:rPr>
          <w:rFonts w:hint="eastAsia"/>
          <w:color w:val="000000" w:themeColor="text1"/>
          <w:lang w:val="zh-CN"/>
          <w14:textFill>
            <w14:solidFill>
              <w14:schemeClr w14:val="tx1"/>
            </w14:solidFill>
          </w14:textFill>
        </w:rPr>
        <w:t>）</w:t>
      </w:r>
      <w:r>
        <w:rPr>
          <w:rFonts w:hint="eastAsia"/>
          <w:color w:val="000000" w:themeColor="text1"/>
          <w14:textFill>
            <w14:solidFill>
              <w14:schemeClr w14:val="tx1"/>
            </w14:solidFill>
          </w14:textFill>
        </w:rPr>
        <w:t>；</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《消防给水及消火栓系统技术规范》（GB</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50</w:t>
      </w:r>
      <w:r>
        <w:rPr>
          <w:rFonts w:hint="eastAsia"/>
          <w:color w:val="000000" w:themeColor="text1"/>
          <w14:textFill>
            <w14:solidFill>
              <w14:schemeClr w14:val="tx1"/>
            </w14:solidFill>
          </w14:textFill>
        </w:rPr>
        <w:t>974</w:t>
      </w:r>
      <w:r>
        <w:rPr>
          <w:rFonts w:hint="eastAsia"/>
          <w:color w:val="000000" w:themeColor="text1"/>
          <w:lang w:val="zh-CN"/>
          <w14:textFill>
            <w14:solidFill>
              <w14:schemeClr w14:val="tx1"/>
            </w14:solidFill>
          </w14:textFill>
        </w:rPr>
        <w:t>-2014）；</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《民用建筑节水设计标准》（GB</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50555-2010）；</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《建筑给水排水制图标准》（GB/T</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50106-2010）；</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《建筑灭火器配置设计规范》（GB 50140-2005）；</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《建筑机电工程抗震设计规范》（GB</w:t>
      </w:r>
      <w:r>
        <w:rPr>
          <w:rFonts w:hint="eastAsia"/>
          <w:color w:val="000000" w:themeColor="text1"/>
          <w14:textFill>
            <w14:solidFill>
              <w14:schemeClr w14:val="tx1"/>
            </w14:solidFill>
          </w14:textFill>
        </w:rPr>
        <w:t xml:space="preserve"> </w:t>
      </w:r>
      <w:r>
        <w:rPr>
          <w:rFonts w:hint="eastAsia"/>
          <w:color w:val="000000" w:themeColor="text1"/>
          <w:lang w:val="zh-CN"/>
          <w14:textFill>
            <w14:solidFill>
              <w14:schemeClr w14:val="tx1"/>
            </w14:solidFill>
          </w14:textFill>
        </w:rPr>
        <w:t>50981-2014）；</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《全国民用建筑工程设计技术措施-给水排水》（2009版）；</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《建筑工程设计文件编制深度规定》（2016年版）。</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（2）工程概况</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本项目为囊谦县黑青稞啤酒生产线引进采购安装项目，本项目为改造项目，原建筑为丙类生产车间，地上一层，结构形式为门式刚结构，耐火等级为二级，建筑面积为1082.52</w:t>
      </w:r>
      <w:r>
        <w:rPr>
          <w:rFonts w:hint="eastAsia"/>
          <w:color w:val="000000" w:themeColor="text1"/>
          <w:lang w:val="zh-CN" w:eastAsia="zh-CN"/>
          <w14:textFill>
            <w14:solidFill>
              <w14:schemeClr w14:val="tx1"/>
            </w14:solidFill>
          </w14:textFill>
        </w:rPr>
        <w:t>㎡，</w:t>
      </w:r>
      <w:r>
        <w:rPr>
          <w:rFonts w:hint="eastAsia"/>
          <w:color w:val="000000" w:themeColor="text1"/>
          <w:lang w:val="zh-CN"/>
          <w14:textFill>
            <w14:solidFill>
              <w14:schemeClr w14:val="tx1"/>
            </w14:solidFill>
          </w14:textFill>
        </w:rPr>
        <w:t>建筑高度6.80m，室内外高差为0.20m，建筑体积为7577.64</w:t>
      </w:r>
      <w:r>
        <w:rPr>
          <w:rFonts w:hint="eastAsia"/>
          <w:color w:val="000000" w:themeColor="text1"/>
          <w:lang w:val="en-US" w:eastAsia="zh-CN"/>
          <w14:textFill>
            <w14:solidFill>
              <w14:schemeClr w14:val="tx1"/>
            </w14:solidFill>
          </w14:textFill>
        </w:rPr>
        <w:t>m³，</w:t>
      </w:r>
      <w:r>
        <w:rPr>
          <w:rFonts w:hint="eastAsia"/>
          <w:color w:val="000000" w:themeColor="text1"/>
          <w:lang w:val="zh-CN"/>
          <w14:textFill>
            <w14:solidFill>
              <w14:schemeClr w14:val="tx1"/>
            </w14:solidFill>
          </w14:textFill>
        </w:rPr>
        <w:t>建筑设置四个出入口。</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本次改造为啤酒生产车间，为丙类车间，生产工艺由专业厂家设计，本设计与厂家配合预留给排水点位，并重新复核调整室内消火栓系统。</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（3）项目区周边现状</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本项目位于</w:t>
      </w:r>
      <w:r>
        <w:rPr>
          <w:rFonts w:hint="eastAsia" w:ascii="仿宋" w:hAnsi="仿宋" w:eastAsia="仿宋" w:cs="仿宋"/>
          <w:color w:val="000000" w:themeColor="text1"/>
          <w:sz w:val="28"/>
          <w:szCs w:val="28"/>
          <w:lang w:val="zh-CN"/>
          <w14:textFill>
            <w14:solidFill>
              <w14:schemeClr w14:val="tx1"/>
            </w14:solidFill>
          </w14:textFill>
        </w:rPr>
        <w:t>囊谦县</w:t>
      </w:r>
      <w:r>
        <w:rPr>
          <w:rFonts w:hint="eastAsia" w:cs="仿宋"/>
          <w:color w:val="000000" w:themeColor="text1"/>
          <w:sz w:val="28"/>
          <w:szCs w:val="28"/>
          <w:lang w:val="zh-CN"/>
          <w14:textFill>
            <w14:solidFill>
              <w14:schemeClr w14:val="tx1"/>
            </w14:solidFill>
          </w14:textFill>
        </w:rPr>
        <w:t>香达镇</w:t>
      </w:r>
      <w:r>
        <w:rPr>
          <w:rFonts w:hint="eastAsia"/>
          <w:color w:val="000000" w:themeColor="text1"/>
          <w:lang w:val="zh-CN"/>
          <w14:textFill>
            <w14:solidFill>
              <w14:schemeClr w14:val="tx1"/>
            </w14:solidFill>
          </w14:textFill>
        </w:rPr>
        <w:t>扶贫产业园内，产业园内已建有多栋生产厂房、综合服务楼、研发楼等建筑，并配套有锅炉房，消防水池及泵房等，本工程新建生产车间给排水可与产业园内给排水管网衔接。</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市政给水水质符合《生活饮用水卫生标准》GB5749-2006的要求。</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（4）地质条件</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根据地勘报告，本工程拟建场地内①层杂填土、②层卵石。据钻孔揭露，场地勘探点揭露深度内均见地下水，初见水位为-0.20～-0.90m，稳定水位为-0.30～-0.70m，稳定水位高程为3580.19-3580.49m。</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拟建场地属季节性冻土场地。囊谦县的标准冻结深度为0.59m，最大冻结深度为0.71m。县城气象站海拔高度为3643.70m。</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地基土的冻胀性等级为Ⅱ类，冻胀类别为弱冻胀，平均冻胀率为1＜η≤3.5%。</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（5）设计范围</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改造原建筑室内的给水系统、污废水系统、消火栓系统以及建筑灭火器配置。</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屋面不做改造，屋面雨水系统保留原有系统，本次不改造。</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（6）室外给水设计</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1）水源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本工程室内已为生产用水预留一根DN50给水管，经本次改造后原有给水管位置位于锅炉间内，本设计将原有给水管用于锅炉用水，并在室外给水管重新单独引入生活给水管及生产给水管，均为单独计量。</w:t>
      </w:r>
    </w:p>
    <w:p>
      <w:p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用水量</w:t>
      </w:r>
    </w:p>
    <w:p>
      <w:pPr>
        <w:spacing w:line="240" w:lineRule="auto"/>
        <w:ind w:firstLine="0" w:firstLineChars="0"/>
        <w:jc w:val="center"/>
        <w:rPr>
          <w:rFonts w:hint="eastAsia"/>
          <w:b/>
          <w:bCs/>
          <w:color w:val="000000" w:themeColor="text1"/>
          <w:sz w:val="24"/>
          <w:lang w:val="zh-CN"/>
          <w14:textFill>
            <w14:solidFill>
              <w14:schemeClr w14:val="tx1"/>
            </w14:solidFill>
          </w14:textFill>
        </w:rPr>
      </w:pPr>
      <w:r>
        <w:rPr>
          <w:rFonts w:hint="eastAsia"/>
          <w:b/>
          <w:bCs/>
          <w:color w:val="000000" w:themeColor="text1"/>
          <w:sz w:val="24"/>
          <w:lang w:val="zh-CN"/>
          <w14:textFill>
            <w14:solidFill>
              <w14:schemeClr w14:val="tx1"/>
            </w14:solidFill>
          </w14:textFill>
        </w:rPr>
        <w:t>各用水</w:t>
      </w:r>
      <w:r>
        <w:rPr>
          <w:rFonts w:hint="eastAsia"/>
          <w:b/>
          <w:bCs/>
          <w:color w:val="000000" w:themeColor="text1"/>
          <w:sz w:val="24"/>
          <w14:textFill>
            <w14:solidFill>
              <w14:schemeClr w14:val="tx1"/>
            </w14:solidFill>
          </w14:textFill>
        </w:rPr>
        <w:t>单体</w:t>
      </w:r>
      <w:r>
        <w:rPr>
          <w:rFonts w:hint="eastAsia"/>
          <w:b/>
          <w:bCs/>
          <w:color w:val="000000" w:themeColor="text1"/>
          <w:sz w:val="24"/>
          <w:lang w:val="zh-CN"/>
          <w14:textFill>
            <w14:solidFill>
              <w14:schemeClr w14:val="tx1"/>
            </w14:solidFill>
          </w14:textFill>
        </w:rPr>
        <w:t>用水量表</w:t>
      </w:r>
    </w:p>
    <w:p>
      <w:pPr>
        <w:spacing w:line="240" w:lineRule="auto"/>
        <w:ind w:firstLine="0" w:firstLineChars="0"/>
        <w:jc w:val="left"/>
        <w:rPr>
          <w:rFonts w:hint="eastAsia"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zh-CN"/>
          <w14:textFill>
            <w14:solidFill>
              <w14:schemeClr w14:val="tx1"/>
            </w14:solidFill>
          </w14:textFill>
        </w:rPr>
        <w:t>-</w:t>
      </w:r>
      <w:r>
        <w:rPr>
          <w:rFonts w:hint="eastAsia" w:cs="宋体"/>
          <w:b/>
          <w:bCs/>
          <w:color w:val="000000" w:themeColor="text1"/>
          <w:sz w:val="21"/>
          <w:szCs w:val="21"/>
          <w:lang w:val="en-US" w:eastAsia="zh-CN"/>
          <w14:textFill>
            <w14:solidFill>
              <w14:schemeClr w14:val="tx1"/>
            </w14:solidFill>
          </w14:textFill>
        </w:rPr>
        <w:t>7</w:t>
      </w:r>
    </w:p>
    <w:tbl>
      <w:tblPr>
        <w:tblStyle w:val="40"/>
        <w:tblW w:w="0" w:type="auto"/>
        <w:jc w:val="center"/>
        <w:tblLayout w:type="fixed"/>
        <w:tblCellMar>
          <w:top w:w="0" w:type="dxa"/>
          <w:left w:w="108" w:type="dxa"/>
          <w:bottom w:w="0" w:type="dxa"/>
          <w:right w:w="108" w:type="dxa"/>
        </w:tblCellMar>
      </w:tblPr>
      <w:tblGrid>
        <w:gridCol w:w="2182"/>
        <w:gridCol w:w="709"/>
        <w:gridCol w:w="992"/>
        <w:gridCol w:w="1276"/>
        <w:gridCol w:w="992"/>
        <w:gridCol w:w="1134"/>
        <w:gridCol w:w="992"/>
        <w:gridCol w:w="951"/>
      </w:tblGrid>
      <w:tr>
        <w:tblPrEx>
          <w:tblCellMar>
            <w:top w:w="0" w:type="dxa"/>
            <w:left w:w="108" w:type="dxa"/>
            <w:bottom w:w="0" w:type="dxa"/>
            <w:right w:w="108" w:type="dxa"/>
          </w:tblCellMar>
        </w:tblPrEx>
        <w:trPr>
          <w:trHeight w:val="454" w:hRule="exact"/>
          <w:tblHeader/>
          <w:jc w:val="center"/>
        </w:trPr>
        <w:tc>
          <w:tcPr>
            <w:tcW w:w="2182" w:type="dxa"/>
            <w:vMerge w:val="restart"/>
            <w:tcBorders>
              <w:top w:val="double" w:color="000000" w:sz="4" w:space="0"/>
              <w:left w:val="double" w:color="000000" w:sz="4"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用水部位</w:t>
            </w:r>
          </w:p>
        </w:tc>
        <w:tc>
          <w:tcPr>
            <w:tcW w:w="709" w:type="dxa"/>
            <w:vMerge w:val="restart"/>
            <w:tcBorders>
              <w:top w:val="doub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用水</w:t>
            </w:r>
          </w:p>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标准</w:t>
            </w:r>
          </w:p>
        </w:tc>
        <w:tc>
          <w:tcPr>
            <w:tcW w:w="992" w:type="dxa"/>
            <w:vMerge w:val="restart"/>
            <w:tcBorders>
              <w:top w:val="doub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单位</w:t>
            </w:r>
          </w:p>
        </w:tc>
        <w:tc>
          <w:tcPr>
            <w:tcW w:w="1276" w:type="dxa"/>
            <w:vMerge w:val="restart"/>
            <w:tcBorders>
              <w:top w:val="doub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数量</w:t>
            </w:r>
          </w:p>
        </w:tc>
        <w:tc>
          <w:tcPr>
            <w:tcW w:w="992" w:type="dxa"/>
            <w:vMerge w:val="restart"/>
            <w:tcBorders>
              <w:top w:val="doub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用水时间（h）</w:t>
            </w:r>
          </w:p>
        </w:tc>
        <w:tc>
          <w:tcPr>
            <w:tcW w:w="1134" w:type="dxa"/>
            <w:vMerge w:val="restart"/>
            <w:tcBorders>
              <w:top w:val="double" w:color="000000" w:sz="4"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时变化系数（</w:t>
            </w:r>
            <w:r>
              <w:rPr>
                <w:rFonts w:hint="eastAsia"/>
                <w:b/>
                <w:color w:val="000000" w:themeColor="text1"/>
                <w:sz w:val="24"/>
                <w:lang w:val="zh-CN"/>
                <w14:textFill>
                  <w14:solidFill>
                    <w14:schemeClr w14:val="tx1"/>
                  </w14:solidFill>
                </w14:textFill>
              </w:rPr>
              <w:t>K）</w:t>
            </w:r>
          </w:p>
        </w:tc>
        <w:tc>
          <w:tcPr>
            <w:tcW w:w="1943" w:type="dxa"/>
            <w:gridSpan w:val="2"/>
            <w:tcBorders>
              <w:top w:val="double" w:color="000000" w:sz="4" w:space="0"/>
              <w:left w:val="single" w:color="000000" w:sz="6" w:space="0"/>
              <w:bottom w:val="single" w:color="000000" w:sz="6" w:space="0"/>
              <w:right w:val="double" w:color="000000" w:sz="4"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用水量（立方米）</w:t>
            </w:r>
          </w:p>
        </w:tc>
      </w:tr>
      <w:tr>
        <w:tblPrEx>
          <w:tblCellMar>
            <w:top w:w="0" w:type="dxa"/>
            <w:left w:w="108" w:type="dxa"/>
            <w:bottom w:w="0" w:type="dxa"/>
            <w:right w:w="108" w:type="dxa"/>
          </w:tblCellMar>
        </w:tblPrEx>
        <w:trPr>
          <w:trHeight w:val="454" w:hRule="exact"/>
          <w:tblHeader/>
          <w:jc w:val="center"/>
        </w:trPr>
        <w:tc>
          <w:tcPr>
            <w:tcW w:w="2182" w:type="dxa"/>
            <w:vMerge w:val="continue"/>
            <w:tcBorders>
              <w:top w:val="double" w:color="000000" w:sz="4" w:space="0"/>
              <w:left w:val="double" w:color="000000" w:sz="4"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709" w:type="dxa"/>
            <w:vMerge w:val="continue"/>
            <w:tcBorders>
              <w:top w:val="double" w:color="000000" w:sz="4" w:space="0"/>
              <w:left w:val="single" w:color="000000" w:sz="6"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992" w:type="dxa"/>
            <w:vMerge w:val="continue"/>
            <w:tcBorders>
              <w:top w:val="double" w:color="000000" w:sz="4" w:space="0"/>
              <w:left w:val="single" w:color="000000" w:sz="6"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1276" w:type="dxa"/>
            <w:vMerge w:val="continue"/>
            <w:tcBorders>
              <w:top w:val="double" w:color="000000" w:sz="4" w:space="0"/>
              <w:left w:val="single" w:color="000000" w:sz="6"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992" w:type="dxa"/>
            <w:vMerge w:val="continue"/>
            <w:tcBorders>
              <w:top w:val="double" w:color="000000" w:sz="4" w:space="0"/>
              <w:left w:val="single" w:color="000000" w:sz="6"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1134" w:type="dxa"/>
            <w:vMerge w:val="continue"/>
            <w:tcBorders>
              <w:top w:val="double" w:color="000000" w:sz="4" w:space="0"/>
              <w:left w:val="single" w:color="000000" w:sz="6" w:space="0"/>
              <w:bottom w:val="single" w:color="000000" w:sz="6"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最大日</w:t>
            </w:r>
          </w:p>
        </w:tc>
        <w:tc>
          <w:tcPr>
            <w:tcW w:w="951" w:type="dxa"/>
            <w:tcBorders>
              <w:top w:val="single" w:color="000000" w:sz="6" w:space="0"/>
              <w:left w:val="single" w:color="000000" w:sz="6" w:space="0"/>
              <w:bottom w:val="single" w:color="000000" w:sz="6" w:space="0"/>
              <w:right w:val="double" w:color="000000" w:sz="4"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最大时</w:t>
            </w:r>
          </w:p>
        </w:tc>
      </w:tr>
      <w:tr>
        <w:tblPrEx>
          <w:tblCellMar>
            <w:top w:w="0" w:type="dxa"/>
            <w:left w:w="108" w:type="dxa"/>
            <w:bottom w:w="0" w:type="dxa"/>
            <w:right w:w="108" w:type="dxa"/>
          </w:tblCellMar>
        </w:tblPrEx>
        <w:trPr>
          <w:trHeight w:val="454" w:hRule="exact"/>
          <w:jc w:val="center"/>
        </w:trPr>
        <w:tc>
          <w:tcPr>
            <w:tcW w:w="2182" w:type="dxa"/>
            <w:tcBorders>
              <w:top w:val="single" w:color="000000" w:sz="6" w:space="0"/>
              <w:left w:val="double" w:color="000000" w:sz="4" w:space="0"/>
              <w:bottom w:val="single" w:color="000000" w:sz="6" w:space="0"/>
              <w:right w:val="single" w:color="000000" w:sz="6" w:space="0"/>
            </w:tcBorders>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加工车间工业用水</w:t>
            </w:r>
          </w:p>
        </w:tc>
        <w:tc>
          <w:tcPr>
            <w:tcW w:w="709"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color w:val="000000" w:themeColor="text1"/>
                <w:kern w:val="0"/>
                <w:sz w:val="24"/>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0</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t/d</w:t>
            </w:r>
          </w:p>
        </w:tc>
        <w:tc>
          <w:tcPr>
            <w:tcW w:w="1276"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厂家提供</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8</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1.0</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0</w:t>
            </w:r>
          </w:p>
        </w:tc>
        <w:tc>
          <w:tcPr>
            <w:tcW w:w="951" w:type="dxa"/>
            <w:tcBorders>
              <w:top w:val="single" w:color="000000" w:sz="6" w:space="0"/>
              <w:left w:val="single" w:color="000000" w:sz="6" w:space="0"/>
              <w:bottom w:val="single" w:color="000000" w:sz="6" w:space="0"/>
              <w:right w:val="double" w:color="000000" w:sz="4"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3.75</w:t>
            </w:r>
          </w:p>
        </w:tc>
      </w:tr>
      <w:tr>
        <w:tblPrEx>
          <w:tblCellMar>
            <w:top w:w="0" w:type="dxa"/>
            <w:left w:w="108" w:type="dxa"/>
            <w:bottom w:w="0" w:type="dxa"/>
            <w:right w:w="108" w:type="dxa"/>
          </w:tblCellMar>
        </w:tblPrEx>
        <w:trPr>
          <w:trHeight w:val="454" w:hRule="exact"/>
          <w:jc w:val="center"/>
        </w:trPr>
        <w:tc>
          <w:tcPr>
            <w:tcW w:w="2182" w:type="dxa"/>
            <w:tcBorders>
              <w:top w:val="single" w:color="000000" w:sz="6" w:space="0"/>
              <w:left w:val="double" w:color="000000" w:sz="4" w:space="0"/>
              <w:bottom w:val="single" w:color="000000" w:sz="6" w:space="0"/>
              <w:right w:val="single" w:color="000000" w:sz="6" w:space="0"/>
            </w:tcBorders>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加工车间生活用水</w:t>
            </w:r>
          </w:p>
        </w:tc>
        <w:tc>
          <w:tcPr>
            <w:tcW w:w="709"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100</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textAlignment w:val="center"/>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L/人·d</w:t>
            </w:r>
          </w:p>
        </w:tc>
        <w:tc>
          <w:tcPr>
            <w:tcW w:w="1276"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25</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8</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2.0</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2.5</w:t>
            </w:r>
          </w:p>
        </w:tc>
        <w:tc>
          <w:tcPr>
            <w:tcW w:w="951" w:type="dxa"/>
            <w:tcBorders>
              <w:top w:val="single" w:color="000000" w:sz="6" w:space="0"/>
              <w:left w:val="single" w:color="000000" w:sz="6" w:space="0"/>
              <w:bottom w:val="single" w:color="000000" w:sz="6" w:space="0"/>
              <w:right w:val="double" w:color="000000" w:sz="4"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0.63</w:t>
            </w:r>
          </w:p>
        </w:tc>
      </w:tr>
      <w:tr>
        <w:tblPrEx>
          <w:tblCellMar>
            <w:top w:w="0" w:type="dxa"/>
            <w:left w:w="108" w:type="dxa"/>
            <w:bottom w:w="0" w:type="dxa"/>
            <w:right w:w="108" w:type="dxa"/>
          </w:tblCellMar>
        </w:tblPrEx>
        <w:trPr>
          <w:trHeight w:val="584" w:hRule="exact"/>
          <w:jc w:val="center"/>
        </w:trPr>
        <w:tc>
          <w:tcPr>
            <w:tcW w:w="2182" w:type="dxa"/>
            <w:tcBorders>
              <w:top w:val="single" w:color="000000" w:sz="6" w:space="0"/>
              <w:left w:val="double" w:color="000000" w:sz="4" w:space="0"/>
              <w:bottom w:val="single" w:color="000000" w:sz="6" w:space="0"/>
              <w:right w:val="single" w:color="000000" w:sz="6" w:space="0"/>
            </w:tcBorders>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道路与绿化浇洒</w:t>
            </w:r>
          </w:p>
        </w:tc>
        <w:tc>
          <w:tcPr>
            <w:tcW w:w="709"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2</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L/㎡·d</w:t>
            </w:r>
          </w:p>
        </w:tc>
        <w:tc>
          <w:tcPr>
            <w:tcW w:w="1276"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2700</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2</w:t>
            </w:r>
          </w:p>
        </w:tc>
        <w:tc>
          <w:tcPr>
            <w:tcW w:w="1134"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rFonts w:hint="eastAsia"/>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1</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5.4</w:t>
            </w:r>
          </w:p>
        </w:tc>
        <w:tc>
          <w:tcPr>
            <w:tcW w:w="951" w:type="dxa"/>
            <w:tcBorders>
              <w:top w:val="single" w:color="000000" w:sz="6" w:space="0"/>
              <w:left w:val="single" w:color="000000" w:sz="6" w:space="0"/>
              <w:bottom w:val="single" w:color="000000" w:sz="6" w:space="0"/>
              <w:right w:val="double" w:color="000000" w:sz="4" w:space="0"/>
            </w:tcBorders>
            <w:noWrap w:val="0"/>
            <w:vAlign w:val="center"/>
          </w:tcPr>
          <w:p>
            <w:pPr>
              <w:widowControl/>
              <w:spacing w:line="240" w:lineRule="auto"/>
              <w:ind w:firstLine="0" w:firstLineChars="0"/>
              <w:jc w:val="center"/>
              <w:textAlignment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2.7</w:t>
            </w:r>
          </w:p>
        </w:tc>
      </w:tr>
      <w:tr>
        <w:tblPrEx>
          <w:tblCellMar>
            <w:top w:w="0" w:type="dxa"/>
            <w:left w:w="108" w:type="dxa"/>
            <w:bottom w:w="0" w:type="dxa"/>
            <w:right w:w="108" w:type="dxa"/>
          </w:tblCellMar>
        </w:tblPrEx>
        <w:trPr>
          <w:trHeight w:val="454" w:hRule="exact"/>
          <w:jc w:val="center"/>
        </w:trPr>
        <w:tc>
          <w:tcPr>
            <w:tcW w:w="2182" w:type="dxa"/>
            <w:tcBorders>
              <w:top w:val="single" w:color="000000" w:sz="6" w:space="0"/>
              <w:left w:val="double" w:color="000000" w:sz="4"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未预见水</w:t>
            </w:r>
          </w:p>
        </w:tc>
        <w:tc>
          <w:tcPr>
            <w:tcW w:w="5103" w:type="dxa"/>
            <w:gridSpan w:val="5"/>
            <w:tcBorders>
              <w:top w:val="single" w:color="000000" w:sz="6" w:space="0"/>
              <w:left w:val="single" w:color="000000" w:sz="6" w:space="0"/>
              <w:bottom w:val="single" w:color="000000" w:sz="6"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按本表以上项目的10%计</w:t>
            </w:r>
          </w:p>
        </w:tc>
        <w:tc>
          <w:tcPr>
            <w:tcW w:w="99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240" w:lineRule="auto"/>
              <w:ind w:firstLine="0" w:firstLineChars="0"/>
              <w:jc w:val="center"/>
              <w:textAlignment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.79</w:t>
            </w:r>
          </w:p>
        </w:tc>
        <w:tc>
          <w:tcPr>
            <w:tcW w:w="951" w:type="dxa"/>
            <w:tcBorders>
              <w:top w:val="single" w:color="000000" w:sz="6" w:space="0"/>
              <w:left w:val="single" w:color="000000" w:sz="6" w:space="0"/>
              <w:bottom w:val="single" w:color="000000" w:sz="6" w:space="0"/>
              <w:right w:val="double" w:color="000000" w:sz="4" w:space="0"/>
            </w:tcBorders>
            <w:noWrap w:val="0"/>
            <w:vAlign w:val="center"/>
          </w:tcPr>
          <w:p>
            <w:pPr>
              <w:widowControl/>
              <w:spacing w:line="240" w:lineRule="auto"/>
              <w:ind w:firstLine="0" w:firstLineChars="0"/>
              <w:jc w:val="center"/>
              <w:textAlignment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0.71</w:t>
            </w:r>
          </w:p>
        </w:tc>
      </w:tr>
      <w:tr>
        <w:tblPrEx>
          <w:tblCellMar>
            <w:top w:w="0" w:type="dxa"/>
            <w:left w:w="108" w:type="dxa"/>
            <w:bottom w:w="0" w:type="dxa"/>
            <w:right w:w="108" w:type="dxa"/>
          </w:tblCellMar>
        </w:tblPrEx>
        <w:trPr>
          <w:trHeight w:val="454" w:hRule="exact"/>
          <w:jc w:val="center"/>
        </w:trPr>
        <w:tc>
          <w:tcPr>
            <w:tcW w:w="2182" w:type="dxa"/>
            <w:tcBorders>
              <w:top w:val="single" w:color="000000" w:sz="6" w:space="0"/>
              <w:left w:val="double" w:color="000000" w:sz="4" w:space="0"/>
              <w:bottom w:val="double" w:color="000000" w:sz="4" w:space="0"/>
              <w:right w:val="single" w:color="000000" w:sz="6" w:space="0"/>
            </w:tcBorders>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合计</w:t>
            </w:r>
          </w:p>
        </w:tc>
        <w:tc>
          <w:tcPr>
            <w:tcW w:w="5103" w:type="dxa"/>
            <w:gridSpan w:val="5"/>
            <w:tcBorders>
              <w:top w:val="single" w:color="000000" w:sz="6" w:space="0"/>
              <w:left w:val="single" w:color="000000" w:sz="6" w:space="0"/>
              <w:bottom w:val="double" w:color="000000" w:sz="4" w:space="0"/>
              <w:right w:val="single" w:color="000000" w:sz="6" w:space="0"/>
            </w:tcBorders>
            <w:noWrap w:val="0"/>
            <w:vAlign w:val="center"/>
          </w:tcPr>
          <w:p>
            <w:pPr>
              <w:snapToGrid w:val="0"/>
              <w:spacing w:line="240" w:lineRule="auto"/>
              <w:ind w:firstLine="0" w:firstLineChars="0"/>
              <w:jc w:val="center"/>
              <w:rPr>
                <w:rFonts w:hint="eastAsia"/>
                <w:b/>
                <w:color w:val="000000" w:themeColor="text1"/>
                <w:sz w:val="24"/>
                <w14:textFill>
                  <w14:solidFill>
                    <w14:schemeClr w14:val="tx1"/>
                  </w14:solidFill>
                </w14:textFill>
              </w:rPr>
            </w:pPr>
          </w:p>
        </w:tc>
        <w:tc>
          <w:tcPr>
            <w:tcW w:w="992" w:type="dxa"/>
            <w:tcBorders>
              <w:top w:val="single" w:color="000000" w:sz="6" w:space="0"/>
              <w:left w:val="single" w:color="000000" w:sz="6" w:space="0"/>
              <w:bottom w:val="double" w:color="000000" w:sz="4" w:space="0"/>
              <w:right w:val="single" w:color="000000" w:sz="6" w:space="0"/>
            </w:tcBorders>
            <w:noWrap w:val="0"/>
            <w:vAlign w:val="center"/>
          </w:tcPr>
          <w:p>
            <w:pPr>
              <w:widowControl/>
              <w:spacing w:line="240" w:lineRule="auto"/>
              <w:ind w:firstLine="0" w:firstLineChars="0"/>
              <w:jc w:val="center"/>
              <w:textAlignment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41</w:t>
            </w:r>
            <w:r>
              <w:rPr>
                <w:rFonts w:hint="eastAsia"/>
                <w:b/>
                <w:color w:val="000000" w:themeColor="text1"/>
                <w:sz w:val="24"/>
                <w14:textFill>
                  <w14:solidFill>
                    <w14:schemeClr w14:val="tx1"/>
                  </w14:solidFill>
                </w14:textFill>
              </w:rPr>
              <w:t>.69</w:t>
            </w:r>
          </w:p>
        </w:tc>
        <w:tc>
          <w:tcPr>
            <w:tcW w:w="951" w:type="dxa"/>
            <w:tcBorders>
              <w:top w:val="single" w:color="000000" w:sz="6" w:space="0"/>
              <w:left w:val="single" w:color="000000" w:sz="6" w:space="0"/>
              <w:bottom w:val="double" w:color="000000" w:sz="4" w:space="0"/>
              <w:right w:val="double" w:color="000000" w:sz="4" w:space="0"/>
            </w:tcBorders>
            <w:noWrap w:val="0"/>
            <w:vAlign w:val="center"/>
          </w:tcPr>
          <w:p>
            <w:pPr>
              <w:widowControl/>
              <w:spacing w:line="240" w:lineRule="auto"/>
              <w:ind w:firstLine="0" w:firstLineChars="0"/>
              <w:jc w:val="center"/>
              <w:textAlignment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7.79</w:t>
            </w:r>
          </w:p>
        </w:tc>
      </w:tr>
    </w:tbl>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综上可得，本项目最大日生活用水量为41.69m³/天，最大时用水量为7.79m³/小时。</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3）系统设计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本工程室外给水管道分别由一根DN50给水管道从北侧给水管引入项目内，在引入管处分别设置水表井，分生活用水及工业用水管道，并分别计量。</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4）系统管材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室外给水管道采用钢丝网骨架增强塑料复合管，接口采用电热熔管件连接，当DN≤50mm时，管材采用PE管，管道连接均采用电热熔管件连接，管道压力级别为1.6MPa。</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本工程室外水表井、阀门井均采用钢筋混凝土井。</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（7）室外排水设计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1）排水条件</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本项目区雨水系统保留原设计，不做改造，本项目污水收集后经新建一体化污水处理设备处理后排至院内已建污水管网。</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2）排水系统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本工程室外排水采用污废水合流制系统，雨污水分流系统。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生产用水量由厂家提供，最高日生产用水量为30m³/d，本工程最高日排水量为最高日用水量的90%，即29.14m³/d。</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污水处理站日处理量为30t/d，为一体化污水处理设备，由厂家配套设计安装。</w:t>
      </w:r>
    </w:p>
    <w:p>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val="zh-CN"/>
          <w14:textFill>
            <w14:solidFill>
              <w14:schemeClr w14:val="tx1"/>
            </w14:solidFill>
          </w14:textFill>
        </w:rPr>
        <w:t>）污水处理站</w:t>
      </w:r>
    </w:p>
    <w:p>
      <w:pPr>
        <w:bidi w:val="0"/>
        <w:rPr>
          <w:rFonts w:hint="eastAsia"/>
          <w:color w:val="000000" w:themeColor="text1"/>
          <w:highlight w:val="none"/>
          <w:lang w:val="en-US" w:eastAsia="zh-CN"/>
          <w14:textFill>
            <w14:solidFill>
              <w14:schemeClr w14:val="tx1"/>
            </w14:solidFill>
          </w14:textFill>
        </w:rPr>
      </w:pPr>
      <w:bookmarkStart w:id="147" w:name="_Toc358315414"/>
      <w:r>
        <w:rPr>
          <w:rFonts w:hint="eastAsia" w:ascii="仿宋" w:hAnsi="仿宋" w:eastAsia="仿宋"/>
          <w:color w:val="000000" w:themeColor="text1"/>
          <w:sz w:val="28"/>
          <w:szCs w:val="24"/>
          <w:lang w:val="zh-CN"/>
          <w14:textFill>
            <w14:solidFill>
              <w14:schemeClr w14:val="tx1"/>
            </w14:solidFill>
          </w14:textFill>
        </w:rPr>
        <w:t>①</w:t>
      </w:r>
      <w:r>
        <w:rPr>
          <w:rFonts w:hint="eastAsia"/>
          <w:color w:val="000000" w:themeColor="text1"/>
          <w:highlight w:val="none"/>
          <w:lang w:val="en-US" w:eastAsia="zh-CN"/>
          <w14:textFill>
            <w14:solidFill>
              <w14:schemeClr w14:val="tx1"/>
            </w14:solidFill>
          </w14:textFill>
        </w:rPr>
        <w:t>设计原水水质指标</w:t>
      </w:r>
      <w:bookmarkEnd w:id="147"/>
    </w:p>
    <w:p>
      <w:pPr>
        <w:bidi w:val="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C</w:t>
      </w:r>
      <w:r>
        <w:rPr>
          <w:rFonts w:hint="default"/>
          <w:color w:val="000000" w:themeColor="text1"/>
          <w:highlight w:val="none"/>
          <w:lang w:val="en-US" w:eastAsia="zh-CN"/>
          <w14:textFill>
            <w14:solidFill>
              <w14:schemeClr w14:val="tx1"/>
            </w14:solidFill>
          </w14:textFill>
        </w:rPr>
        <w:t>O</w:t>
      </w:r>
      <w:r>
        <w:rPr>
          <w:rFonts w:hint="default"/>
          <w:color w:val="000000" w:themeColor="text1"/>
          <w:highlight w:val="none"/>
          <w:lang w:val="zh-CN"/>
          <w14:textFill>
            <w14:solidFill>
              <w14:schemeClr w14:val="tx1"/>
            </w14:solidFill>
          </w14:textFill>
        </w:rPr>
        <w:t>Dcr=1400</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zh-CN"/>
          <w14:textFill>
            <w14:solidFill>
              <w14:schemeClr w14:val="tx1"/>
            </w14:solidFill>
          </w14:textFill>
        </w:rPr>
        <w:t>mg/L</w:t>
      </w:r>
    </w:p>
    <w:p>
      <w:pPr>
        <w:bidi w:val="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BOD</w:t>
      </w:r>
      <w:r>
        <w:rPr>
          <w:rFonts w:hint="default"/>
          <w:color w:val="000000" w:themeColor="text1"/>
          <w:highlight w:val="none"/>
          <w:vertAlign w:val="subscript"/>
          <w:lang w:val="zh-CN"/>
          <w14:textFill>
            <w14:solidFill>
              <w14:schemeClr w14:val="tx1"/>
            </w14:solidFill>
          </w14:textFill>
        </w:rPr>
        <w:t>5</w:t>
      </w:r>
      <w:r>
        <w:rPr>
          <w:rFonts w:hint="default"/>
          <w:color w:val="000000" w:themeColor="text1"/>
          <w:highlight w:val="none"/>
          <w:lang w:val="zh-CN"/>
          <w14:textFill>
            <w14:solidFill>
              <w14:schemeClr w14:val="tx1"/>
            </w14:solidFill>
          </w14:textFill>
        </w:rPr>
        <w:t>=800 mg/L</w:t>
      </w:r>
    </w:p>
    <w:p>
      <w:pPr>
        <w:bidi w:val="0"/>
        <w:rPr>
          <w:rFonts w:hint="default"/>
          <w:color w:val="000000" w:themeColor="text1"/>
          <w:highlight w:val="none"/>
          <w:lang w:val="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zh-CN"/>
          <w14:textFill>
            <w14:solidFill>
              <w14:schemeClr w14:val="tx1"/>
            </w14:solidFill>
          </w14:textFill>
        </w:rPr>
        <w:t>SS=350</w:t>
      </w: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zh-CN"/>
          <w14:textFill>
            <w14:solidFill>
              <w14:schemeClr w14:val="tx1"/>
            </w14:solidFill>
          </w14:textFill>
        </w:rPr>
        <w:t>mg/L</w:t>
      </w:r>
    </w:p>
    <w:p>
      <w:pPr>
        <w:bidi w:val="0"/>
        <w:rPr>
          <w:rFonts w:hint="default"/>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w:t>
      </w:r>
      <w:r>
        <w:rPr>
          <w:rFonts w:hint="default"/>
          <w:color w:val="000000" w:themeColor="text1"/>
          <w:highlight w:val="none"/>
          <w:lang w:val="zh-CN"/>
          <w14:textFill>
            <w14:solidFill>
              <w14:schemeClr w14:val="tx1"/>
            </w14:solidFill>
          </w14:textFill>
        </w:rPr>
        <w:t>H=</w:t>
      </w:r>
      <w:r>
        <w:rPr>
          <w:rFonts w:hint="default"/>
          <w:color w:val="000000" w:themeColor="text1"/>
          <w:highlight w:val="none"/>
          <w:lang w:val="zh-CN" w:eastAsia="zh-CN"/>
          <w14:textFill>
            <w14:solidFill>
              <w14:schemeClr w14:val="tx1"/>
            </w14:solidFill>
          </w14:textFill>
        </w:rPr>
        <w:t>5</w:t>
      </w:r>
      <w:r>
        <w:rPr>
          <w:rFonts w:hint="default"/>
          <w:color w:val="000000" w:themeColor="text1"/>
          <w:highlight w:val="none"/>
          <w:lang w:val="zh-CN"/>
          <w14:textFill>
            <w14:solidFill>
              <w14:schemeClr w14:val="tx1"/>
            </w14:solidFill>
          </w14:textFill>
        </w:rPr>
        <w:t>～1</w:t>
      </w:r>
      <w:r>
        <w:rPr>
          <w:rFonts w:hint="default"/>
          <w:color w:val="000000" w:themeColor="text1"/>
          <w:highlight w:val="none"/>
          <w:lang w:val="zh-CN" w:eastAsia="zh-CN"/>
          <w14:textFill>
            <w14:solidFill>
              <w14:schemeClr w14:val="tx1"/>
            </w14:solidFill>
          </w14:textFill>
        </w:rPr>
        <w:t>1</w:t>
      </w:r>
    </w:p>
    <w:p>
      <w:pPr>
        <w:bidi w:val="0"/>
        <w:rPr>
          <w:rFonts w:hint="eastAsia"/>
          <w:color w:val="000000" w:themeColor="text1"/>
          <w:highlight w:val="none"/>
          <w:lang w:val="en-US" w:eastAsia="zh-CN"/>
          <w14:textFill>
            <w14:solidFill>
              <w14:schemeClr w14:val="tx1"/>
            </w14:solidFill>
          </w14:textFill>
        </w:rPr>
      </w:pPr>
      <w:bookmarkStart w:id="148" w:name="_Toc358315415"/>
      <w:r>
        <w:rPr>
          <w:rFonts w:hint="eastAsia" w:ascii="仿宋" w:hAnsi="仿宋" w:eastAsia="仿宋"/>
          <w:color w:val="000000" w:themeColor="text1"/>
          <w:sz w:val="28"/>
          <w:szCs w:val="24"/>
          <w:lang w:val="zh-CN"/>
          <w14:textFill>
            <w14:solidFill>
              <w14:schemeClr w14:val="tx1"/>
            </w14:solidFill>
          </w14:textFill>
        </w:rPr>
        <w:t>②</w:t>
      </w:r>
      <w:r>
        <w:rPr>
          <w:rFonts w:hint="eastAsia"/>
          <w:color w:val="000000" w:themeColor="text1"/>
          <w:highlight w:val="none"/>
          <w:lang w:val="en-US" w:eastAsia="zh-CN"/>
          <w14:textFill>
            <w14:solidFill>
              <w14:schemeClr w14:val="tx1"/>
            </w14:solidFill>
          </w14:textFill>
        </w:rPr>
        <w:t>设计出水水质指标</w:t>
      </w:r>
      <w:bookmarkEnd w:id="148"/>
    </w:p>
    <w:p>
      <w:pPr>
        <w:bidi w:val="0"/>
        <w:rPr>
          <w:rFonts w:hint="default"/>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zh-CN"/>
          <w14:textFill>
            <w14:solidFill>
              <w14:schemeClr w14:val="tx1"/>
            </w14:solidFill>
          </w14:textFill>
        </w:rPr>
        <w:t>CODcr≤100 mg/L</w:t>
      </w:r>
    </w:p>
    <w:p>
      <w:pPr>
        <w:bidi w:val="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BOD5≤</w:t>
      </w:r>
      <w:r>
        <w:rPr>
          <w:rFonts w:hint="default"/>
          <w:color w:val="000000" w:themeColor="text1"/>
          <w:highlight w:val="none"/>
          <w:lang w:val="zh-CN" w:eastAsia="zh-CN"/>
          <w14:textFill>
            <w14:solidFill>
              <w14:schemeClr w14:val="tx1"/>
            </w14:solidFill>
          </w14:textFill>
        </w:rPr>
        <w:t>3</w:t>
      </w:r>
      <w:r>
        <w:rPr>
          <w:rFonts w:hint="default"/>
          <w:color w:val="000000" w:themeColor="text1"/>
          <w:highlight w:val="none"/>
          <w:lang w:val="zh-CN"/>
          <w14:textFill>
            <w14:solidFill>
              <w14:schemeClr w14:val="tx1"/>
            </w14:solidFill>
          </w14:textFill>
        </w:rPr>
        <w:t>0 mg/L</w:t>
      </w:r>
    </w:p>
    <w:p>
      <w:pPr>
        <w:bidi w:val="0"/>
        <w:rPr>
          <w:rFonts w:hint="default"/>
          <w:color w:val="000000" w:themeColor="text1"/>
          <w:highlight w:val="none"/>
          <w:lang w:val="zh-CN"/>
          <w14:textFill>
            <w14:solidFill>
              <w14:schemeClr w14:val="tx1"/>
            </w14:solidFill>
          </w14:textFill>
        </w:rPr>
      </w:pPr>
      <w:r>
        <w:rPr>
          <w:rFonts w:hint="default"/>
          <w:color w:val="000000" w:themeColor="text1"/>
          <w:highlight w:val="none"/>
          <w:lang w:val="zh-CN"/>
          <w14:textFill>
            <w14:solidFill>
              <w14:schemeClr w14:val="tx1"/>
            </w14:solidFill>
          </w14:textFill>
        </w:rPr>
        <w:t>SS≤70 mg/L</w:t>
      </w:r>
    </w:p>
    <w:p>
      <w:pPr>
        <w:bidi w:val="0"/>
        <w:rPr>
          <w:rFonts w:hint="default"/>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w:t>
      </w:r>
      <w:r>
        <w:rPr>
          <w:rFonts w:hint="default"/>
          <w:color w:val="000000" w:themeColor="text1"/>
          <w:highlight w:val="none"/>
          <w:lang w:val="zh-CN"/>
          <w14:textFill>
            <w14:solidFill>
              <w14:schemeClr w14:val="tx1"/>
            </w14:solidFill>
          </w14:textFill>
        </w:rPr>
        <w:t>H=6～9</w:t>
      </w:r>
    </w:p>
    <w:p>
      <w:pPr>
        <w:bidi w:val="0"/>
        <w:rPr>
          <w:rFonts w:hint="default"/>
          <w:color w:val="000000" w:themeColor="text1"/>
          <w:highlight w:val="none"/>
          <w:lang w:val="en-US" w:eastAsia="zh-CN"/>
          <w14:textFill>
            <w14:solidFill>
              <w14:schemeClr w14:val="tx1"/>
            </w14:solidFill>
          </w14:textFill>
        </w:rPr>
      </w:pPr>
      <w:bookmarkStart w:id="149" w:name="_Toc358315416"/>
      <w:r>
        <w:rPr>
          <w:rFonts w:hint="eastAsia" w:ascii="仿宋" w:hAnsi="仿宋" w:eastAsia="仿宋"/>
          <w:color w:val="000000" w:themeColor="text1"/>
          <w:sz w:val="28"/>
          <w:szCs w:val="24"/>
          <w:lang w:val="zh-CN"/>
          <w14:textFill>
            <w14:solidFill>
              <w14:schemeClr w14:val="tx1"/>
            </w14:solidFill>
          </w14:textFill>
        </w:rPr>
        <w:t>③</w:t>
      </w:r>
      <w:r>
        <w:rPr>
          <w:rFonts w:hint="default"/>
          <w:color w:val="000000" w:themeColor="text1"/>
          <w:highlight w:val="none"/>
          <w:lang w:val="en-US" w:eastAsia="zh-CN"/>
          <w14:textFill>
            <w14:solidFill>
              <w14:schemeClr w14:val="tx1"/>
            </w14:solidFill>
          </w14:textFill>
        </w:rPr>
        <w:t>处理工艺流程的选择</w:t>
      </w:r>
      <w:bookmarkEnd w:id="149"/>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厌氧-好氧处理工艺是一种有效去除有机污染物并使其炭化的技术，它将有机化合物转化为二氧化碳和甲烷。这种工艺技术不仅运转费用低，而且还可以将废水转化成沼气。这种工艺的特点是所需反应器体积小，约为好氧处理工艺的</w:t>
      </w:r>
      <w:r>
        <w:rPr>
          <w:rFonts w:hint="default"/>
          <w:color w:val="000000" w:themeColor="text1"/>
          <w:highlight w:val="none"/>
          <w:lang w:val="en-US" w:eastAsia="zh-CN"/>
          <w14:textFill>
            <w14:solidFill>
              <w14:schemeClr w14:val="tx1"/>
            </w14:solidFill>
          </w14:textFill>
        </w:rPr>
        <w:t>10%</w:t>
      </w:r>
      <w:r>
        <w:rPr>
          <w:rFonts w:hint="default"/>
          <w:color w:val="000000" w:themeColor="text1"/>
          <w:highlight w:val="none"/>
          <w:lang w:val="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15%</w:t>
      </w:r>
      <w:r>
        <w:rPr>
          <w:rFonts w:hint="default"/>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产泥量也少，约为好氧工艺的</w:t>
      </w:r>
      <w:r>
        <w:rPr>
          <w:rFonts w:hint="default"/>
          <w:color w:val="000000" w:themeColor="text1"/>
          <w:highlight w:val="none"/>
          <w:lang w:val="en-US" w:eastAsia="zh-CN"/>
          <w14:textFill>
            <w14:solidFill>
              <w14:schemeClr w14:val="tx1"/>
            </w14:solidFill>
          </w14:textFill>
        </w:rPr>
        <w:t>10%</w:t>
      </w:r>
      <w:r>
        <w:rPr>
          <w:rFonts w:hint="default"/>
          <w:color w:val="000000" w:themeColor="text1"/>
          <w:highlight w:val="none"/>
          <w:lang w:val="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15%</w:t>
      </w:r>
      <w:r>
        <w:rPr>
          <w:rFonts w:hint="default"/>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对营养物的需求量比较低；可以小规模也可以大规模。</w:t>
      </w:r>
    </w:p>
    <w:p>
      <w:pPr>
        <w:bidi w:val="0"/>
        <w:rPr>
          <w:rFonts w:hint="default"/>
          <w:color w:val="000000" w:themeColor="text1"/>
          <w:highlight w:val="none"/>
          <w:lang w:val="zh-CN"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厌氧法的特点是不能除去碳和磷，出水一般不达标，常用的反应器有</w:t>
      </w:r>
      <w:r>
        <w:rPr>
          <w:rFonts w:hint="default"/>
          <w:color w:val="000000" w:themeColor="text1"/>
          <w:highlight w:val="none"/>
          <w:lang w:val="zh-CN"/>
          <w14:textFill>
            <w14:solidFill>
              <w14:schemeClr w14:val="tx1"/>
            </w14:solidFill>
          </w14:textFill>
        </w:rPr>
        <w:t>UASB、AF、FASB等，UASB反应器与其他反应器相比有以下优点：</w:t>
      </w:r>
      <w:r>
        <w:rPr>
          <w:rFonts w:hint="default"/>
          <w:color w:val="000000" w:themeColor="text1"/>
          <w:highlight w:val="none"/>
          <w:lang w:val="zh-CN" w:eastAsia="zh-CN"/>
          <w14:textFill>
            <w14:solidFill>
              <w14:schemeClr w14:val="tx1"/>
            </w14:solidFill>
          </w14:textFill>
        </w:rPr>
        <w:t>水解-好氧技术节能效果显着</w:t>
      </w:r>
      <w:r>
        <w:rPr>
          <w:rFonts w:hint="default"/>
          <w:color w:val="000000" w:themeColor="text1"/>
          <w:highlight w:val="none"/>
          <w:lang w:val="zh-CN"/>
          <w14:textFill>
            <w14:solidFill>
              <w14:schemeClr w14:val="tx1"/>
            </w14:solidFill>
          </w14:textFill>
        </w:rPr>
        <w:t>，且BOD/COD值增大，污水的可生化性能增加，可缩短总水力停留时间，提高处理效率，剩余污泥量少</w:t>
      </w:r>
      <w:r>
        <w:rPr>
          <w:rFonts w:hint="default"/>
          <w:color w:val="000000" w:themeColor="text1"/>
          <w:highlight w:val="none"/>
          <w:lang w:val="zh-CN" w:eastAsia="zh-CN"/>
          <w14:textFill>
            <w14:solidFill>
              <w14:schemeClr w14:val="tx1"/>
            </w14:solidFill>
          </w14:textFill>
        </w:rPr>
        <w:t>；对于</w:t>
      </w:r>
      <w:r>
        <w:rPr>
          <w:rFonts w:hint="default"/>
          <w:color w:val="000000" w:themeColor="text1"/>
          <w:highlight w:val="none"/>
          <w:lang w:val="zh-CN"/>
          <w14:textFill>
            <w14:solidFill>
              <w14:schemeClr w14:val="tx1"/>
            </w14:solidFill>
          </w14:textFill>
        </w:rPr>
        <w:t>UASB</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好氧技术</w:t>
      </w:r>
      <w:r>
        <w:rPr>
          <w:rFonts w:hint="default"/>
          <w:color w:val="000000" w:themeColor="text1"/>
          <w:highlight w:val="none"/>
          <w:lang w:val="zh-CN" w:eastAsia="zh-CN"/>
          <w14:textFill>
            <w14:solidFill>
              <w14:schemeClr w14:val="tx1"/>
            </w14:solidFill>
          </w14:textFill>
        </w:rPr>
        <w:t>主要</w:t>
      </w:r>
      <w:r>
        <w:rPr>
          <w:rFonts w:hint="default"/>
          <w:color w:val="000000" w:themeColor="text1"/>
          <w:highlight w:val="none"/>
          <w:lang w:val="zh-CN"/>
          <w14:textFill>
            <w14:solidFill>
              <w14:schemeClr w14:val="tx1"/>
            </w14:solidFill>
          </w14:textFill>
        </w:rPr>
        <w:t>技术上先进可行，投资小，运行成本低，效果好，可回收能源，产出颗粒污泥产品，由一定收益</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操作要求严</w:t>
      </w:r>
      <w:r>
        <w:rPr>
          <w:rFonts w:hint="eastAsia"/>
          <w:color w:val="000000" w:themeColor="text1"/>
          <w:highlight w:val="none"/>
          <w:lang w:val="zh-CN"/>
          <w14:textFill>
            <w14:solidFill>
              <w14:schemeClr w14:val="tx1"/>
            </w14:solidFill>
          </w14:textFill>
        </w:rPr>
        <w:t>。</w:t>
      </w:r>
    </w:p>
    <w:p>
      <w:pPr>
        <w:bidi w:val="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zh-CN"/>
          <w14:textFill>
            <w14:solidFill>
              <w14:schemeClr w14:val="tx1"/>
            </w14:solidFill>
          </w14:textFill>
        </w:rPr>
        <w:t>可以看出厌氧—好氧联合处理在啤酒污水处理方面有较大优点，故啤酒污水厌氧—好氧处理技术是最好的选择。</w:t>
      </w:r>
    </w:p>
    <w:p>
      <w:pPr>
        <w:bidi w:val="0"/>
        <w:rPr>
          <w:rFonts w:hint="eastAsia"/>
          <w:color w:val="000000" w:themeColor="text1"/>
          <w:highlight w:val="none"/>
          <w:lang w:val="en-US" w:eastAsia="zh-CN"/>
          <w14:textFill>
            <w14:solidFill>
              <w14:schemeClr w14:val="tx1"/>
            </w14:solidFill>
          </w14:textFill>
        </w:rPr>
      </w:pPr>
      <w:bookmarkStart w:id="150" w:name="_Toc358315417"/>
      <w:r>
        <w:rPr>
          <w:rFonts w:hint="eastAsia" w:ascii="仿宋" w:hAnsi="仿宋" w:eastAsia="仿宋"/>
          <w:color w:val="000000" w:themeColor="text1"/>
          <w:sz w:val="28"/>
          <w:szCs w:val="24"/>
          <w:lang w:val="zh-CN"/>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处理工艺线路</w:t>
      </w:r>
      <w:bookmarkEnd w:id="150"/>
    </w:p>
    <w:p>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啤酒污水先经过格栅除去大的杂志然后进入集水池，用污水泵将污水提升到水力筛，进入调节池对水质，水量进行调节，调节池pH在</w:t>
      </w:r>
      <w:r>
        <w:rPr>
          <w:rFonts w:hint="default"/>
          <w:color w:val="000000" w:themeColor="text1"/>
          <w:highlight w:val="none"/>
          <w:lang w:val="zh-CN"/>
          <w14:textFill>
            <w14:solidFill>
              <w14:schemeClr w14:val="tx1"/>
            </w14:solidFill>
          </w14:textFill>
        </w:rPr>
        <w:t>6.5</w:t>
      </w:r>
      <w:r>
        <w:rPr>
          <w:rFonts w:hint="eastAsia"/>
          <w:color w:val="000000" w:themeColor="text1"/>
          <w:highlight w:val="none"/>
          <w:lang w:val="zh-CN"/>
          <w14:textFill>
            <w14:solidFill>
              <w14:schemeClr w14:val="tx1"/>
            </w14:solidFill>
          </w14:textFill>
        </w:rPr>
        <w:t>～</w:t>
      </w:r>
      <w:r>
        <w:rPr>
          <w:rFonts w:hint="default"/>
          <w:color w:val="000000" w:themeColor="text1"/>
          <w:highlight w:val="none"/>
          <w:lang w:val="zh-CN"/>
          <w14:textFill>
            <w14:solidFill>
              <w14:schemeClr w14:val="tx1"/>
            </w14:solidFill>
          </w14:textFill>
        </w:rPr>
        <w:t>7.5</w:t>
      </w:r>
      <w:r>
        <w:rPr>
          <w:rFonts w:hint="eastAsia"/>
          <w:color w:val="000000" w:themeColor="text1"/>
          <w:highlight w:val="none"/>
          <w:lang w:val="zh-CN" w:eastAsia="zh-CN"/>
          <w14:textFill>
            <w14:solidFill>
              <w14:schemeClr w14:val="tx1"/>
            </w14:solidFill>
          </w14:textFill>
        </w:rPr>
        <w:t>之间。</w:t>
      </w:r>
      <w:r>
        <w:rPr>
          <w:rFonts w:hint="eastAsia"/>
          <w:color w:val="000000" w:themeColor="text1"/>
          <w:highlight w:val="none"/>
          <w:lang w:val="zh-CN"/>
          <w14:textFill>
            <w14:solidFill>
              <w14:schemeClr w14:val="tx1"/>
            </w14:solidFill>
          </w14:textFill>
        </w:rPr>
        <w:t>调节池中出来的水用泵连续送入</w:t>
      </w:r>
      <w:r>
        <w:rPr>
          <w:rFonts w:hint="default"/>
          <w:color w:val="000000" w:themeColor="text1"/>
          <w:highlight w:val="none"/>
          <w:lang w:val="zh-CN"/>
          <w14:textFill>
            <w14:solidFill>
              <w14:schemeClr w14:val="tx1"/>
            </w14:solidFill>
          </w14:textFill>
        </w:rPr>
        <w:t>UASB</w:t>
      </w:r>
      <w:r>
        <w:rPr>
          <w:rFonts w:hint="eastAsia"/>
          <w:color w:val="000000" w:themeColor="text1"/>
          <w:highlight w:val="none"/>
          <w:lang w:val="zh-CN"/>
          <w14:textFill>
            <w14:solidFill>
              <w14:schemeClr w14:val="tx1"/>
            </w14:solidFill>
          </w14:textFill>
        </w:rPr>
        <w:t>反应器进行厌氧消化，降低有机物浓度。厌氧处理过程中产生的沼气被收集到沼气柜。</w:t>
      </w:r>
      <w:r>
        <w:rPr>
          <w:rFonts w:hint="default"/>
          <w:color w:val="000000" w:themeColor="text1"/>
          <w:highlight w:val="none"/>
          <w:lang w:val="zh-CN"/>
          <w14:textFill>
            <w14:solidFill>
              <w14:schemeClr w14:val="tx1"/>
            </w14:solidFill>
          </w14:textFill>
        </w:rPr>
        <w:t>UASB</w:t>
      </w:r>
      <w:r>
        <w:rPr>
          <w:rFonts w:hint="eastAsia"/>
          <w:color w:val="000000" w:themeColor="text1"/>
          <w:highlight w:val="none"/>
          <w:lang w:val="zh-CN"/>
          <w14:textFill>
            <w14:solidFill>
              <w14:schemeClr w14:val="tx1"/>
            </w14:solidFill>
          </w14:textFill>
        </w:rPr>
        <w:t>反应器内的污水流入</w:t>
      </w:r>
      <w:r>
        <w:rPr>
          <w:rFonts w:hint="default"/>
          <w:color w:val="000000" w:themeColor="text1"/>
          <w:highlight w:val="none"/>
          <w:lang w:val="zh-CN"/>
          <w14:textFill>
            <w14:solidFill>
              <w14:schemeClr w14:val="tx1"/>
            </w14:solidFill>
          </w14:textFill>
        </w:rPr>
        <w:t>CASS</w:t>
      </w:r>
      <w:r>
        <w:rPr>
          <w:rFonts w:hint="eastAsia"/>
          <w:color w:val="000000" w:themeColor="text1"/>
          <w:highlight w:val="none"/>
          <w:lang w:val="zh-CN"/>
          <w14:textFill>
            <w14:solidFill>
              <w14:schemeClr w14:val="tx1"/>
            </w14:solidFill>
          </w14:textFill>
        </w:rPr>
        <w:t>池中进行好氧处理，而后达标出水。来自</w:t>
      </w:r>
      <w:r>
        <w:rPr>
          <w:rFonts w:hint="default"/>
          <w:color w:val="000000" w:themeColor="text1"/>
          <w:highlight w:val="none"/>
          <w:lang w:val="zh-CN"/>
          <w14:textFill>
            <w14:solidFill>
              <w14:schemeClr w14:val="tx1"/>
            </w14:solidFill>
          </w14:textFill>
        </w:rPr>
        <w:t>UASB</w:t>
      </w:r>
      <w:r>
        <w:rPr>
          <w:rFonts w:hint="eastAsia"/>
          <w:color w:val="000000" w:themeColor="text1"/>
          <w:highlight w:val="none"/>
          <w:lang w:val="zh-CN"/>
          <w14:textFill>
            <w14:solidFill>
              <w14:schemeClr w14:val="tx1"/>
            </w14:solidFill>
          </w14:textFill>
        </w:rPr>
        <w:t>反应器、</w:t>
      </w:r>
      <w:r>
        <w:rPr>
          <w:rFonts w:hint="default"/>
          <w:color w:val="000000" w:themeColor="text1"/>
          <w:highlight w:val="none"/>
          <w:lang w:val="zh-CN"/>
          <w14:textFill>
            <w14:solidFill>
              <w14:schemeClr w14:val="tx1"/>
            </w14:solidFill>
          </w14:textFill>
        </w:rPr>
        <w:t>CASS</w:t>
      </w:r>
      <w:r>
        <w:rPr>
          <w:rFonts w:hint="eastAsia"/>
          <w:color w:val="000000" w:themeColor="text1"/>
          <w:highlight w:val="none"/>
          <w:lang w:val="zh-CN"/>
          <w14:textFill>
            <w14:solidFill>
              <w14:schemeClr w14:val="tx1"/>
            </w14:solidFill>
          </w14:textFill>
        </w:rPr>
        <w:t>反应池的剩余污泥先收集到集泥井，在由污泥提升泵提升到污泥浓缩池内被浓缩，浓缩后进入污泥脱水机房，进一步降低污泥的含水率，实现污泥的减量化。污泥脱水后形成泥饼，装车外运处置。</w:t>
      </w:r>
    </w:p>
    <w:p>
      <w:pPr>
        <w:bidi w:val="0"/>
        <w:rPr>
          <w:rFonts w:hint="eastAsia"/>
          <w:color w:val="000000" w:themeColor="text1"/>
          <w:highlight w:val="none"/>
          <w:lang w:val="en-US" w:eastAsia="zh-CN"/>
          <w14:textFill>
            <w14:solidFill>
              <w14:schemeClr w14:val="tx1"/>
            </w14:solidFill>
          </w14:textFill>
        </w:rPr>
      </w:pPr>
      <w:bookmarkStart w:id="151" w:name="_Toc358315418"/>
      <w:r>
        <w:rPr>
          <w:rFonts w:hint="eastAsia" w:ascii="仿宋" w:hAnsi="仿宋" w:eastAsia="仿宋"/>
          <w:color w:val="000000" w:themeColor="text1"/>
          <w:sz w:val="28"/>
          <w:szCs w:val="24"/>
          <w:lang w:val="zh-CN"/>
          <w14:textFill>
            <w14:solidFill>
              <w14:schemeClr w14:val="tx1"/>
            </w14:solidFill>
          </w14:textFill>
        </w:rPr>
        <w:t>⑤</w:t>
      </w:r>
      <w:r>
        <w:rPr>
          <w:rFonts w:hint="eastAsia"/>
          <w:color w:val="000000" w:themeColor="text1"/>
          <w:highlight w:val="none"/>
          <w:lang w:val="en-US" w:eastAsia="zh-CN"/>
          <w14:textFill>
            <w14:solidFill>
              <w14:schemeClr w14:val="tx1"/>
            </w14:solidFill>
          </w14:textFill>
        </w:rPr>
        <w:t>处理工艺所需设备</w:t>
      </w:r>
      <w:bookmarkEnd w:id="151"/>
    </w:p>
    <w:p>
      <w:pPr>
        <w:bidi w:val="0"/>
        <w:ind w:left="0" w:leftChars="0" w:firstLine="0" w:firstLineChars="0"/>
        <w:jc w:val="center"/>
        <w:rPr>
          <w:rFonts w:hint="eastAsia"/>
          <w:b/>
          <w:bCs/>
          <w:color w:val="000000" w:themeColor="text1"/>
          <w:sz w:val="24"/>
          <w:szCs w:val="24"/>
          <w:highlight w:val="none"/>
          <w:lang w:val="zh-CN"/>
          <w14:textFill>
            <w14:solidFill>
              <w14:schemeClr w14:val="tx1"/>
            </w14:solidFill>
          </w14:textFill>
        </w:rPr>
      </w:pPr>
      <w:r>
        <w:rPr>
          <w:rFonts w:hint="eastAsia"/>
          <w:b/>
          <w:bCs/>
          <w:color w:val="000000" w:themeColor="text1"/>
          <w:sz w:val="24"/>
          <w:szCs w:val="24"/>
          <w:highlight w:val="none"/>
          <w:lang w:val="zh-CN"/>
          <w14:textFill>
            <w14:solidFill>
              <w14:schemeClr w14:val="tx1"/>
            </w14:solidFill>
          </w14:textFill>
        </w:rPr>
        <w:t>主要设备见表</w:t>
      </w:r>
    </w:p>
    <w:p>
      <w:pPr>
        <w:spacing w:line="240" w:lineRule="auto"/>
        <w:ind w:firstLine="0" w:firstLineChars="0"/>
        <w:jc w:val="left"/>
        <w:rPr>
          <w:rFonts w:hint="eastAsia" w:eastAsia="仿宋" w:cs="宋体"/>
          <w:b/>
          <w:bCs/>
          <w:color w:val="000000" w:themeColor="text1"/>
          <w:sz w:val="21"/>
          <w:szCs w:val="21"/>
          <w:lang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en-US" w:eastAsia="zh-CN"/>
          <w14:textFill>
            <w14:solidFill>
              <w14:schemeClr w14:val="tx1"/>
            </w14:solidFill>
          </w14:textFill>
        </w:rPr>
        <w:t>9</w:t>
      </w:r>
    </w:p>
    <w:tbl>
      <w:tblPr>
        <w:tblStyle w:val="40"/>
        <w:tblW w:w="4996" w:type="pct"/>
        <w:tblInd w:w="0" w:type="dxa"/>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Layout w:type="autofit"/>
        <w:tblCellMar>
          <w:top w:w="0" w:type="dxa"/>
          <w:left w:w="108" w:type="dxa"/>
          <w:bottom w:w="0" w:type="dxa"/>
          <w:right w:w="108" w:type="dxa"/>
        </w:tblCellMar>
      </w:tblPr>
      <w:tblGrid>
        <w:gridCol w:w="832"/>
        <w:gridCol w:w="1573"/>
        <w:gridCol w:w="3605"/>
        <w:gridCol w:w="1185"/>
        <w:gridCol w:w="1016"/>
        <w:gridCol w:w="1070"/>
      </w:tblGrid>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序号</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设备名称</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型号规格</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单位</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数量</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机械格栅</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HF-300 栅隙15</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mm</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2</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2</w:t>
            </w:r>
          </w:p>
        </w:tc>
        <w:tc>
          <w:tcPr>
            <w:tcW w:w="8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污水提升泵</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100QW120-10-5.5</w:t>
            </w:r>
          </w:p>
        </w:tc>
        <w:tc>
          <w:tcPr>
            <w:tcW w:w="63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3</w:t>
            </w:r>
          </w:p>
        </w:tc>
        <w:tc>
          <w:tcPr>
            <w:tcW w:w="57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8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Q=30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L/s H=10.0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m N=5.5</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KW</w:t>
            </w:r>
          </w:p>
        </w:tc>
        <w:tc>
          <w:tcPr>
            <w:tcW w:w="63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7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3</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固定过滤机</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HS120</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3</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4</w:t>
            </w:r>
          </w:p>
        </w:tc>
        <w:tc>
          <w:tcPr>
            <w:tcW w:w="8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潜水搅拌机</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QJB7.5/6－640/3-303/c/s</w:t>
            </w:r>
          </w:p>
        </w:tc>
        <w:tc>
          <w:tcPr>
            <w:tcW w:w="63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p>
        </w:tc>
        <w:tc>
          <w:tcPr>
            <w:tcW w:w="57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8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N=7.5</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KW</w:t>
            </w:r>
          </w:p>
        </w:tc>
        <w:tc>
          <w:tcPr>
            <w:tcW w:w="63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7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54" w:hRule="atLeast"/>
        </w:trPr>
        <w:tc>
          <w:tcPr>
            <w:tcW w:w="44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5</w:t>
            </w:r>
          </w:p>
        </w:tc>
        <w:tc>
          <w:tcPr>
            <w:tcW w:w="8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配水泵</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150QW1100-15-11</w:t>
            </w:r>
          </w:p>
        </w:tc>
        <w:tc>
          <w:tcPr>
            <w:tcW w:w="63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3</w:t>
            </w:r>
          </w:p>
        </w:tc>
        <w:tc>
          <w:tcPr>
            <w:tcW w:w="57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8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Q=30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L/s H=15</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m N=11.0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KW</w:t>
            </w:r>
          </w:p>
        </w:tc>
        <w:tc>
          <w:tcPr>
            <w:tcW w:w="63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c>
          <w:tcPr>
            <w:tcW w:w="57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6</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加药装置</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AHJ-I</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套</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7</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气水分离器</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φ500×1800（H）mm</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8</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水封器</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φ500×1200（H）mm</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2</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9</w:t>
            </w:r>
          </w:p>
        </w:tc>
        <w:tc>
          <w:tcPr>
            <w:tcW w:w="8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沼气贮罐</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φ7000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mm×H6000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mm</w:t>
            </w:r>
          </w:p>
        </w:tc>
        <w:tc>
          <w:tcPr>
            <w:tcW w:w="63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个</w:t>
            </w:r>
          </w:p>
        </w:tc>
        <w:tc>
          <w:tcPr>
            <w:tcW w:w="54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10</w:t>
            </w:r>
          </w:p>
        </w:tc>
        <w:tc>
          <w:tcPr>
            <w:tcW w:w="8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鼓风机</w:t>
            </w: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DG超小型离心鼓风机</w:t>
            </w:r>
          </w:p>
        </w:tc>
        <w:tc>
          <w:tcPr>
            <w:tcW w:w="63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台</w:t>
            </w:r>
          </w:p>
        </w:tc>
        <w:tc>
          <w:tcPr>
            <w:tcW w:w="5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2</w:t>
            </w:r>
          </w:p>
        </w:tc>
        <w:tc>
          <w:tcPr>
            <w:tcW w:w="57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44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zh-CN"/>
                <w14:textFill>
                  <w14:solidFill>
                    <w14:schemeClr w14:val="tx1"/>
                  </w14:solidFill>
                </w14:textFill>
              </w:rPr>
            </w:pPr>
          </w:p>
        </w:tc>
        <w:tc>
          <w:tcPr>
            <w:tcW w:w="8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zh-CN"/>
                <w14:textFill>
                  <w14:solidFill>
                    <w14:schemeClr w14:val="tx1"/>
                  </w14:solidFill>
                </w14:textFill>
              </w:rPr>
            </w:pPr>
          </w:p>
        </w:tc>
        <w:tc>
          <w:tcPr>
            <w:tcW w:w="19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N=75.0</w:t>
            </w:r>
            <w:r>
              <w:rPr>
                <w:rFonts w:hint="eastAsia"/>
                <w:color w:val="000000" w:themeColor="text1"/>
                <w:sz w:val="24"/>
                <w:szCs w:val="24"/>
                <w:highlight w:val="none"/>
                <w:lang w:val="en-US" w:eastAsia="zh-CN"/>
                <w14:textFill>
                  <w14:solidFill>
                    <w14:schemeClr w14:val="tx1"/>
                  </w14:solidFill>
                </w14:textFill>
              </w:rPr>
              <w:t xml:space="preserve"> </w:t>
            </w:r>
            <w:r>
              <w:rPr>
                <w:rFonts w:hint="default"/>
                <w:color w:val="000000" w:themeColor="text1"/>
                <w:sz w:val="24"/>
                <w:szCs w:val="24"/>
                <w:highlight w:val="none"/>
                <w:lang w:val="en-US" w:eastAsia="zh-CN"/>
                <w14:textFill>
                  <w14:solidFill>
                    <w14:schemeClr w14:val="tx1"/>
                  </w14:solidFill>
                </w14:textFill>
              </w:rPr>
              <w:t>KW</w:t>
            </w:r>
          </w:p>
        </w:tc>
        <w:tc>
          <w:tcPr>
            <w:tcW w:w="63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zh-CN"/>
                <w14:textFill>
                  <w14:solidFill>
                    <w14:schemeClr w14:val="tx1"/>
                  </w14:solidFill>
                </w14:textFill>
              </w:rPr>
            </w:pPr>
          </w:p>
        </w:tc>
        <w:tc>
          <w:tcPr>
            <w:tcW w:w="5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zh-CN"/>
                <w14:textFill>
                  <w14:solidFill>
                    <w14:schemeClr w14:val="tx1"/>
                  </w14:solidFill>
                </w14:textFill>
              </w:rPr>
            </w:pPr>
          </w:p>
        </w:tc>
        <w:tc>
          <w:tcPr>
            <w:tcW w:w="57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zh-CN"/>
                <w14:textFill>
                  <w14:solidFill>
                    <w14:schemeClr w14:val="tx1"/>
                  </w14:solidFill>
                </w14:textFill>
              </w:rPr>
            </w:pPr>
          </w:p>
        </w:tc>
      </w:tr>
    </w:tbl>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4）系统管材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本工程室外污、废水管道均采用高密度聚乙烯双壁波纹管，接口采用专用橡胶圈接口。室外雨水管道采用高密度聚乙烯双壁波纹管，接口采用专用橡胶圈接口。</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本工程雨污水检查井采用混凝土检查井。</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（8）室内给水设计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1）水源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本工程室内给水管道由室外生活给水管网直接供给。</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2）给水系统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本工程室内给水系统采用下行上给式系统。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3）系统管材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室内给水管立管及干管采用内衬塑热镀锌钢管， DN&gt;80，卡箍连接，DN≤80，丝扣连接，给水管承压不小于1.0MPa；支管采用PP-R管，热熔连接。</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（9）室内排水设计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1）排水系统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本工程室内排水采用污废水合流制系统。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本建筑内排水通气采用伸顶通气法。</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原建筑室内无用水点，仅在室内地面设置排水明沟，本次改造后新增公共卫生间，新增污水系统，并在新增设备用房内新增废水排水系统。生产废水排至已建废水管网内，本工程在室外设置污水处理站，污水经处理达标后才能排放至院内已建污水管网。</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2）系统管材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所有排水立管采用PP聚丙烯静音排水管，支管及穿墙出户管均采用PP聚丙烯静音排水管，均为承插连接。</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（10）节水、节能减排措施</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1）选用符合《节水型生活用水器具》（CJ/T 164-2014）标准的节水型卫生洁具、冲洗阀。公共卫生间采用感应式水嘴和感应式小便器冲洗阀。</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2）合理配置管道直径、控制流速，选用低阻力管材、阀门，降低系统运行能耗。</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3）充分利用市政给水压力，节约能耗。</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4）各用水点均设水表计量，以加强用户的节水意识。</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（11）消防设计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1）系统设计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本项目按《建筑设计防火规范》（GB 50016-2014）（2018年版）确定建筑室内应设计的消防系统，并在建筑室内配有移动灭火器，室外设置室外消火栓系统。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本项目区西侧现状有一处消防泵房及消防水池，消防水池有效容积650立方米。泵房内设置室内消防泵一套、室外消防泵一套、增压稳压设备一套。室内消防泵选型为：XBD 6/30-SLH（Q=30L/s，H=60m，K=37kw，一用一备）。室外消防泵选型为：XBD 4/30-SLH（Q=30L/s，H=40m，K=30kw，一用一备）。室外设置室内消火栓环网（管径DN150）及室外消火栓环网（管径DN150）各一套，管线位置均经过本项目区。</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2）消防用水量</w:t>
      </w:r>
    </w:p>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体量较大建筑消防用水量计算</w:t>
      </w:r>
    </w:p>
    <w:p>
      <w:pPr>
        <w:spacing w:line="240" w:lineRule="auto"/>
        <w:ind w:firstLine="0" w:firstLineChars="0"/>
        <w:jc w:val="left"/>
        <w:rPr>
          <w:rFonts w:hint="default"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zh-CN"/>
          <w14:textFill>
            <w14:solidFill>
              <w14:schemeClr w14:val="tx1"/>
            </w14:solidFill>
          </w14:textFill>
        </w:rPr>
        <w:t>-</w:t>
      </w:r>
      <w:r>
        <w:rPr>
          <w:rFonts w:hint="eastAsia" w:cs="宋体"/>
          <w:b/>
          <w:bCs/>
          <w:color w:val="000000" w:themeColor="text1"/>
          <w:sz w:val="21"/>
          <w:szCs w:val="21"/>
          <w:lang w:val="en-US" w:eastAsia="zh-CN"/>
          <w14:textFill>
            <w14:solidFill>
              <w14:schemeClr w14:val="tx1"/>
            </w14:solidFill>
          </w14:textFill>
        </w:rPr>
        <w:t>10</w:t>
      </w:r>
    </w:p>
    <w:tbl>
      <w:tblPr>
        <w:tblStyle w:val="40"/>
        <w:tblW w:w="0" w:type="auto"/>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4"/>
        <w:gridCol w:w="1569"/>
        <w:gridCol w:w="1749"/>
        <w:gridCol w:w="1671"/>
        <w:gridCol w:w="1317"/>
        <w:gridCol w:w="1494"/>
        <w:gridCol w:w="116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81" w:hRule="exact"/>
          <w:tblHeader/>
          <w:jc w:val="center"/>
        </w:trPr>
        <w:tc>
          <w:tcPr>
            <w:tcW w:w="40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序号</w:t>
            </w:r>
          </w:p>
        </w:tc>
        <w:tc>
          <w:tcPr>
            <w:tcW w:w="156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建筑名称</w:t>
            </w: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设计流量</w:t>
            </w:r>
          </w:p>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(L/</w:t>
            </w:r>
            <w:r>
              <w:rPr>
                <w:rFonts w:hint="eastAsia" w:ascii="仿宋" w:hAnsi="仿宋" w:eastAsia="仿宋" w:cs="仿宋"/>
                <w:b/>
                <w:bCs/>
                <w:color w:val="000000" w:themeColor="text1"/>
                <w:kern w:val="2"/>
                <w:sz w:val="24"/>
                <w:szCs w:val="24"/>
                <w14:textFill>
                  <w14:solidFill>
                    <w14:schemeClr w14:val="tx1"/>
                  </w14:solidFill>
                </w14:textFill>
              </w:rPr>
              <w:t>s</w:t>
            </w:r>
            <w:r>
              <w:rPr>
                <w:rFonts w:hint="eastAsia" w:ascii="仿宋" w:hAnsi="仿宋" w:eastAsia="仿宋" w:cs="仿宋"/>
                <w:b/>
                <w:bCs/>
                <w:color w:val="000000" w:themeColor="text1"/>
                <w:kern w:val="2"/>
                <w:sz w:val="24"/>
                <w:szCs w:val="24"/>
                <w:lang w:val="zh-CN"/>
                <w14:textFill>
                  <w14:solidFill>
                    <w14:schemeClr w14:val="tx1"/>
                  </w14:solidFill>
                </w14:textFill>
              </w:rPr>
              <w:t>)</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室内消栓设计流量（L/</w:t>
            </w:r>
            <w:r>
              <w:rPr>
                <w:rFonts w:hint="eastAsia" w:ascii="仿宋" w:hAnsi="仿宋" w:eastAsia="仿宋" w:cs="仿宋"/>
                <w:b/>
                <w:bCs/>
                <w:color w:val="000000" w:themeColor="text1"/>
                <w:kern w:val="2"/>
                <w:sz w:val="24"/>
                <w:szCs w:val="24"/>
                <w14:textFill>
                  <w14:solidFill>
                    <w14:schemeClr w14:val="tx1"/>
                  </w14:solidFill>
                </w14:textFill>
              </w:rPr>
              <w:t>s）</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火灾延续时间（h）</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一次消防</w:t>
            </w:r>
          </w:p>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用水量（</w:t>
            </w:r>
            <w:r>
              <w:rPr>
                <w:rFonts w:hint="eastAsia" w:ascii="仿宋" w:hAnsi="仿宋" w:eastAsia="仿宋" w:cs="仿宋"/>
                <w:b/>
                <w:bCs/>
                <w:color w:val="000000" w:themeColor="text1"/>
                <w:kern w:val="2"/>
                <w:sz w:val="24"/>
                <w:szCs w:val="24"/>
                <w14:textFill>
                  <w14:solidFill>
                    <w14:schemeClr w14:val="tx1"/>
                  </w14:solidFill>
                </w14:textFill>
              </w:rPr>
              <w:t>m³</w:t>
            </w:r>
            <w:r>
              <w:rPr>
                <w:rFonts w:hint="eastAsia" w:ascii="仿宋" w:hAnsi="仿宋" w:eastAsia="仿宋" w:cs="仿宋"/>
                <w:b/>
                <w:bCs/>
                <w:color w:val="000000" w:themeColor="text1"/>
                <w:kern w:val="2"/>
                <w:sz w:val="24"/>
                <w:szCs w:val="24"/>
                <w:lang w:val="zh-CN"/>
                <w14:textFill>
                  <w14:solidFill>
                    <w14:schemeClr w14:val="tx1"/>
                  </w14:solidFill>
                </w14:textFill>
              </w:rPr>
              <w:t>）</w:t>
            </w:r>
          </w:p>
        </w:tc>
        <w:tc>
          <w:tcPr>
            <w:tcW w:w="116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合计用水量（</w:t>
            </w:r>
            <w:r>
              <w:rPr>
                <w:rFonts w:hint="eastAsia" w:ascii="仿宋" w:hAnsi="仿宋" w:eastAsia="仿宋" w:cs="仿宋"/>
                <w:b/>
                <w:bCs/>
                <w:color w:val="000000" w:themeColor="text1"/>
                <w:kern w:val="2"/>
                <w:sz w:val="24"/>
                <w:szCs w:val="24"/>
                <w14:textFill>
                  <w14:solidFill>
                    <w14:schemeClr w14:val="tx1"/>
                  </w14:solidFill>
                </w14:textFill>
              </w:rPr>
              <w:t>m³</w:t>
            </w:r>
            <w:r>
              <w:rPr>
                <w:rFonts w:hint="eastAsia" w:ascii="仿宋" w:hAnsi="仿宋" w:eastAsia="仿宋" w:cs="仿宋"/>
                <w:b/>
                <w:bCs/>
                <w:color w:val="000000" w:themeColor="text1"/>
                <w:kern w:val="2"/>
                <w:sz w:val="24"/>
                <w:szCs w:val="24"/>
                <w:lang w:val="zh-CN"/>
                <w14:textFill>
                  <w14:solidFill>
                    <w14:schemeClr w14:val="tx1"/>
                  </w14:solidFill>
                </w14:textFill>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04"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1</w:t>
            </w:r>
          </w:p>
        </w:tc>
        <w:tc>
          <w:tcPr>
            <w:tcW w:w="1569"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生产</w:t>
            </w:r>
            <w:r>
              <w:rPr>
                <w:rFonts w:hint="eastAsia" w:ascii="仿宋" w:hAnsi="仿宋" w:eastAsia="仿宋" w:cs="仿宋"/>
                <w:color w:val="000000" w:themeColor="text1"/>
                <w:kern w:val="2"/>
                <w:sz w:val="24"/>
                <w:szCs w:val="24"/>
                <w:lang w:val="zh-CN"/>
                <w14:textFill>
                  <w14:solidFill>
                    <w14:schemeClr w14:val="tx1"/>
                  </w14:solidFill>
                </w14:textFill>
              </w:rPr>
              <w:t>车间</w:t>
            </w:r>
          </w:p>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（丙类）</w:t>
            </w: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室内消火栓</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20</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3</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216</w:t>
            </w:r>
          </w:p>
        </w:tc>
        <w:tc>
          <w:tcPr>
            <w:tcW w:w="1164"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486</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04"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p>
        </w:tc>
        <w:tc>
          <w:tcPr>
            <w:tcW w:w="1569"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室外消火栓</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25</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3</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270</w:t>
            </w:r>
          </w:p>
        </w:tc>
        <w:tc>
          <w:tcPr>
            <w:tcW w:w="1164"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p>
        </w:tc>
      </w:tr>
    </w:tbl>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本项目用地范围内按同时发生一起火灾设防，本项目一次消防用水量为486m³。</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3）消火栓系统</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本项目消防用水由已建消防水池及泵房供给，经复核满足本次设计要求，本次设计消防系统从原有系统上接入。原有消防水箱位于已建三层综合楼屋面，有效容积为18</w:t>
      </w:r>
      <w:r>
        <w:rPr>
          <w:rFonts w:hint="eastAsia"/>
          <w:color w:val="000000" w:themeColor="text1"/>
          <w:lang w:val="en-US" w:eastAsia="zh-CN"/>
          <w14:textFill>
            <w14:solidFill>
              <w14:schemeClr w14:val="tx1"/>
            </w14:solidFill>
          </w14:textFill>
        </w:rPr>
        <w:t>m³</w:t>
      </w:r>
      <w:r>
        <w:rPr>
          <w:rFonts w:hint="eastAsia"/>
          <w:color w:val="000000" w:themeColor="text1"/>
          <w:lang w:val="zh-CN"/>
          <w14:textFill>
            <w14:solidFill>
              <w14:schemeClr w14:val="tx1"/>
            </w14:solidFill>
          </w14:textFill>
        </w:rPr>
        <w:t>，满足本次设计的要求。</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已建有消防环状管网系统，已建室外消防给水由消防水泵房室外消防水泵供给，在室外消防管网上设置地下式室外消火栓，地下式室外消火栓内配置DN100和DN65的栓口各一个，保护半径不大于150m，每个室外消火栓的间距均不应大于120m，距路边不大于2.0m，距建筑物外墙不小于5.0m。</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本工程在已建室外消火栓保护范围内，本次可不新建室外消火栓。</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本工程在加工车间内设置室内消火栓系统，由已建在院内已建的室内消火栓系统环网接入，水压及流量可满足本建筑使用要求，室内消火栓栓口的安装高度为距地面1.10m。</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室内消火栓系统的管道采用内外壁热浸镀锌钢管，采用沟槽式卡箍连接或法兰连接，管道的公称压力1.0Mpa。</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4）建筑灭火器配置</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按照《建筑灭火器配置设计规范》配备一定数量的灭火器，每处配备的灭火器数量不少于两具。本项目加工车间危险等级为中危险级，火灾种类按A类。每个消火栓箱下和图中标识位置处配两具磷酸铵盐手提式移动灭火器。</w:t>
      </w:r>
    </w:p>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灭火器配置参数表</w:t>
      </w:r>
    </w:p>
    <w:p>
      <w:pPr>
        <w:spacing w:line="240" w:lineRule="auto"/>
        <w:ind w:firstLine="0" w:firstLineChars="0"/>
        <w:jc w:val="left"/>
        <w:rPr>
          <w:rFonts w:hint="eastAsia"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zh-CN"/>
          <w14:textFill>
            <w14:solidFill>
              <w14:schemeClr w14:val="tx1"/>
            </w14:solidFill>
          </w14:textFill>
        </w:rPr>
        <w:t>-</w:t>
      </w:r>
      <w:r>
        <w:rPr>
          <w:rFonts w:hint="eastAsia" w:cs="宋体"/>
          <w:b/>
          <w:bCs/>
          <w:color w:val="000000" w:themeColor="text1"/>
          <w:sz w:val="21"/>
          <w:szCs w:val="21"/>
          <w14:textFill>
            <w14:solidFill>
              <w14:schemeClr w14:val="tx1"/>
            </w14:solidFill>
          </w14:textFill>
        </w:rPr>
        <w:t>1</w:t>
      </w:r>
      <w:r>
        <w:rPr>
          <w:rFonts w:hint="eastAsia" w:cs="宋体"/>
          <w:b/>
          <w:bCs/>
          <w:color w:val="000000" w:themeColor="text1"/>
          <w:sz w:val="21"/>
          <w:szCs w:val="21"/>
          <w:lang w:val="en-US" w:eastAsia="zh-CN"/>
          <w14:textFill>
            <w14:solidFill>
              <w14:schemeClr w14:val="tx1"/>
            </w14:solidFill>
          </w14:textFill>
        </w:rPr>
        <w:t>1</w:t>
      </w:r>
    </w:p>
    <w:tbl>
      <w:tblPr>
        <w:tblStyle w:val="40"/>
        <w:tblW w:w="0" w:type="auto"/>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190"/>
        <w:gridCol w:w="2313"/>
        <w:gridCol w:w="2313"/>
        <w:gridCol w:w="232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673" w:hRule="exact"/>
          <w:jc w:val="center"/>
        </w:trPr>
        <w:tc>
          <w:tcPr>
            <w:tcW w:w="2190" w:type="dxa"/>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危险级别</w:t>
            </w:r>
          </w:p>
        </w:tc>
        <w:tc>
          <w:tcPr>
            <w:tcW w:w="2313" w:type="dxa"/>
            <w:noWrap w:val="0"/>
            <w:vAlign w:val="center"/>
          </w:tcPr>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每具最小</w:t>
            </w:r>
          </w:p>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配置灭火级别</w:t>
            </w:r>
          </w:p>
        </w:tc>
        <w:tc>
          <w:tcPr>
            <w:tcW w:w="2313" w:type="dxa"/>
            <w:noWrap w:val="0"/>
            <w:vAlign w:val="center"/>
          </w:tcPr>
          <w:p>
            <w:pPr>
              <w:spacing w:line="240" w:lineRule="auto"/>
              <w:ind w:firstLine="0" w:firstLineChars="0"/>
              <w:jc w:val="center"/>
              <w:rPr>
                <w:rFonts w:hint="eastAsia"/>
                <w:b/>
                <w:color w:val="000000" w:themeColor="text1"/>
                <w:sz w:val="24"/>
                <w:lang w:val="zh-CN"/>
                <w14:textFill>
                  <w14:solidFill>
                    <w14:schemeClr w14:val="tx1"/>
                  </w14:solidFill>
                </w14:textFill>
              </w:rPr>
            </w:pPr>
            <w:r>
              <w:rPr>
                <w:rFonts w:hint="eastAsia"/>
                <w:b/>
                <w:color w:val="000000" w:themeColor="text1"/>
                <w:sz w:val="24"/>
                <w:lang w:val="zh-CN"/>
                <w14:textFill>
                  <w14:solidFill>
                    <w14:schemeClr w14:val="tx1"/>
                  </w14:solidFill>
                </w14:textFill>
              </w:rPr>
              <w:t>每具灭火器</w:t>
            </w:r>
          </w:p>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lang w:val="zh-CN"/>
                <w14:textFill>
                  <w14:solidFill>
                    <w14:schemeClr w14:val="tx1"/>
                  </w14:solidFill>
                </w14:textFill>
              </w:rPr>
              <w:t>最大保护面积</w:t>
            </w:r>
          </w:p>
        </w:tc>
        <w:tc>
          <w:tcPr>
            <w:tcW w:w="2323" w:type="dxa"/>
            <w:noWrap w:val="0"/>
            <w:vAlign w:val="center"/>
          </w:tcPr>
          <w:p>
            <w:pPr>
              <w:spacing w:line="240" w:lineRule="auto"/>
              <w:ind w:firstLine="0" w:firstLineChars="0"/>
              <w:jc w:val="center"/>
              <w:rPr>
                <w:rFonts w:hint="eastAsia"/>
                <w:b/>
                <w:color w:val="000000" w:themeColor="text1"/>
                <w:sz w:val="24"/>
                <w:lang w:val="zh-CN"/>
                <w14:textFill>
                  <w14:solidFill>
                    <w14:schemeClr w14:val="tx1"/>
                  </w14:solidFill>
                </w14:textFill>
              </w:rPr>
            </w:pPr>
            <w:r>
              <w:rPr>
                <w:rFonts w:hint="eastAsia"/>
                <w:b/>
                <w:color w:val="000000" w:themeColor="text1"/>
                <w:sz w:val="24"/>
                <w:lang w:val="zh-CN"/>
                <w14:textFill>
                  <w14:solidFill>
                    <w14:schemeClr w14:val="tx1"/>
                  </w14:solidFill>
                </w14:textFill>
              </w:rPr>
              <w:t>每具灭火器</w:t>
            </w:r>
          </w:p>
          <w:p>
            <w:pPr>
              <w:spacing w:line="240" w:lineRule="auto"/>
              <w:ind w:firstLine="0" w:firstLineChars="0"/>
              <w:jc w:val="center"/>
              <w:rPr>
                <w:rFonts w:hint="eastAsia"/>
                <w:b/>
                <w:color w:val="000000" w:themeColor="text1"/>
                <w:sz w:val="24"/>
                <w14:textFill>
                  <w14:solidFill>
                    <w14:schemeClr w14:val="tx1"/>
                  </w14:solidFill>
                </w14:textFill>
              </w:rPr>
            </w:pPr>
            <w:r>
              <w:rPr>
                <w:rFonts w:hint="eastAsia"/>
                <w:b/>
                <w:color w:val="000000" w:themeColor="text1"/>
                <w:sz w:val="24"/>
                <w:lang w:val="zh-CN"/>
                <w14:textFill>
                  <w14:solidFill>
                    <w14:schemeClr w14:val="tx1"/>
                  </w14:solidFill>
                </w14:textFill>
              </w:rPr>
              <w:t>最大保护距离</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50" w:hRule="exact"/>
          <w:jc w:val="center"/>
        </w:trPr>
        <w:tc>
          <w:tcPr>
            <w:tcW w:w="2190" w:type="dxa"/>
            <w:noWrap w:val="0"/>
            <w:vAlign w:val="center"/>
          </w:tcPr>
          <w:p>
            <w:pPr>
              <w:spacing w:line="240" w:lineRule="auto"/>
              <w:ind w:firstLine="0" w:firstLineChars="0"/>
              <w:jc w:val="center"/>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中危险级</w:t>
            </w:r>
          </w:p>
        </w:tc>
        <w:tc>
          <w:tcPr>
            <w:tcW w:w="2313" w:type="dxa"/>
            <w:noWrap w:val="0"/>
            <w:vAlign w:val="center"/>
          </w:tcPr>
          <w:p>
            <w:pPr>
              <w:spacing w:line="240" w:lineRule="auto"/>
              <w:ind w:firstLine="0" w:firstLineChars="0"/>
              <w:jc w:val="center"/>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2A</w:t>
            </w:r>
          </w:p>
        </w:tc>
        <w:tc>
          <w:tcPr>
            <w:tcW w:w="2313" w:type="dxa"/>
            <w:noWrap w:val="0"/>
            <w:vAlign w:val="center"/>
          </w:tcPr>
          <w:p>
            <w:pPr>
              <w:spacing w:line="240" w:lineRule="auto"/>
              <w:ind w:firstLine="0" w:firstLineChars="0"/>
              <w:jc w:val="center"/>
              <w:rPr>
                <w:rFonts w:hint="eastAsia"/>
                <w:bCs/>
                <w:color w:val="000000" w:themeColor="text1"/>
                <w:sz w:val="24"/>
                <w14:textFill>
                  <w14:solidFill>
                    <w14:schemeClr w14:val="tx1"/>
                  </w14:solidFill>
                </w14:textFill>
              </w:rPr>
            </w:pPr>
            <w:r>
              <w:rPr>
                <w:rFonts w:hint="eastAsia"/>
                <w:bCs/>
                <w:color w:val="000000" w:themeColor="text1"/>
                <w:sz w:val="24"/>
                <w:lang w:val="zh-CN"/>
                <w14:textFill>
                  <w14:solidFill>
                    <w14:schemeClr w14:val="tx1"/>
                  </w14:solidFill>
                </w14:textFill>
              </w:rPr>
              <w:t>75㎡/A</w:t>
            </w:r>
          </w:p>
        </w:tc>
        <w:tc>
          <w:tcPr>
            <w:tcW w:w="2323" w:type="dxa"/>
            <w:noWrap w:val="0"/>
            <w:vAlign w:val="center"/>
          </w:tcPr>
          <w:p>
            <w:pPr>
              <w:spacing w:line="240" w:lineRule="auto"/>
              <w:ind w:firstLine="0" w:firstLineChars="0"/>
              <w:jc w:val="center"/>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20m</w:t>
            </w:r>
          </w:p>
        </w:tc>
      </w:tr>
    </w:tbl>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（12）管道支吊架抗震设计</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室内DN≥65mm的给水、热水、消防等压力管道的水平管段应设置抗震支吊架，机电设备应设置抗震支撑措施，具体深化设计由专业厂家完成。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1）刚性连接金属管道侧向抗震支撑最大间距不得大于12m，纵向抗震支撑最大间距不得大于24m；柔性连接金属管道，塑料管及复合管侧向抗震支撑最大间距不得大于6m，纵向抗震支撑最大间距不得大于12m。</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2）设有防震基础的给水泵，需设置限位器，未设有防震基础的设备（水箱等）必须与主体结构连接牢固。</w:t>
      </w:r>
    </w:p>
    <w:p>
      <w:pPr>
        <w:pStyle w:val="5"/>
        <w:tabs>
          <w:tab w:val="left" w:pos="2420"/>
        </w:tabs>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（13）工程量表</w:t>
      </w:r>
    </w:p>
    <w:p>
      <w:pPr>
        <w:spacing w:line="24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主要工程量表</w:t>
      </w:r>
    </w:p>
    <w:p>
      <w:pPr>
        <w:spacing w:line="240" w:lineRule="auto"/>
        <w:ind w:firstLine="0" w:firstLineChars="0"/>
        <w:jc w:val="left"/>
        <w:rPr>
          <w:rFonts w:hint="eastAsia"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6-1</w:t>
      </w:r>
      <w:r>
        <w:rPr>
          <w:rFonts w:hint="eastAsia" w:cs="宋体"/>
          <w:b/>
          <w:bCs/>
          <w:color w:val="000000" w:themeColor="text1"/>
          <w:sz w:val="21"/>
          <w:szCs w:val="21"/>
          <w:lang w:val="en-US" w:eastAsia="zh-CN"/>
          <w14:textFill>
            <w14:solidFill>
              <w14:schemeClr w14:val="tx1"/>
            </w14:solidFill>
          </w14:textFill>
        </w:rPr>
        <w:t>2</w:t>
      </w:r>
    </w:p>
    <w:tbl>
      <w:tblPr>
        <w:tblStyle w:val="40"/>
        <w:tblW w:w="928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91"/>
        <w:gridCol w:w="2355"/>
        <w:gridCol w:w="705"/>
        <w:gridCol w:w="885"/>
        <w:gridCol w:w="315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02"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序号</w:t>
            </w:r>
          </w:p>
        </w:tc>
        <w:tc>
          <w:tcPr>
            <w:tcW w:w="1491"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名称</w:t>
            </w:r>
          </w:p>
        </w:tc>
        <w:tc>
          <w:tcPr>
            <w:tcW w:w="2355"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规格</w:t>
            </w:r>
          </w:p>
        </w:tc>
        <w:tc>
          <w:tcPr>
            <w:tcW w:w="705"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单位</w:t>
            </w:r>
          </w:p>
        </w:tc>
        <w:tc>
          <w:tcPr>
            <w:tcW w:w="885"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数量</w:t>
            </w:r>
          </w:p>
        </w:tc>
        <w:tc>
          <w:tcPr>
            <w:tcW w:w="3151" w:type="dxa"/>
            <w:noWrap w:val="0"/>
            <w:vAlign w:val="center"/>
          </w:tcPr>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bidi="ar"/>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1</w:t>
            </w:r>
          </w:p>
        </w:tc>
        <w:tc>
          <w:tcPr>
            <w:tcW w:w="149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给水管</w:t>
            </w:r>
          </w:p>
        </w:tc>
        <w:tc>
          <w:tcPr>
            <w:tcW w:w="2355" w:type="dxa"/>
            <w:noWrap w:val="0"/>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DN50</w:t>
            </w:r>
          </w:p>
        </w:tc>
        <w:tc>
          <w:tcPr>
            <w:tcW w:w="70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m</w:t>
            </w:r>
          </w:p>
        </w:tc>
        <w:tc>
          <w:tcPr>
            <w:tcW w:w="88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40</w:t>
            </w:r>
          </w:p>
        </w:tc>
        <w:tc>
          <w:tcPr>
            <w:tcW w:w="315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钢丝网骨架复合PE管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2</w:t>
            </w:r>
          </w:p>
        </w:tc>
        <w:tc>
          <w:tcPr>
            <w:tcW w:w="149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污水管</w:t>
            </w:r>
          </w:p>
        </w:tc>
        <w:tc>
          <w:tcPr>
            <w:tcW w:w="235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DN200</w:t>
            </w:r>
          </w:p>
        </w:tc>
        <w:tc>
          <w:tcPr>
            <w:tcW w:w="70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m</w:t>
            </w:r>
          </w:p>
        </w:tc>
        <w:tc>
          <w:tcPr>
            <w:tcW w:w="885" w:type="dxa"/>
            <w:noWrap w:val="0"/>
            <w:vAlign w:val="center"/>
          </w:tcPr>
          <w:p>
            <w:pPr>
              <w:spacing w:line="240" w:lineRule="auto"/>
              <w:ind w:firstLine="0" w:firstLineChars="0"/>
              <w:jc w:val="center"/>
              <w:rPr>
                <w:rFonts w:hint="default" w:eastAsia="仿宋"/>
                <w:color w:val="000000" w:themeColor="text1"/>
                <w:sz w:val="24"/>
                <w:lang w:val="en-US" w:eastAsia="zh-CN"/>
                <w14:textFill>
                  <w14:solidFill>
                    <w14:schemeClr w14:val="tx1"/>
                  </w14:solidFill>
                </w14:textFill>
              </w:rPr>
            </w:pPr>
            <w:r>
              <w:rPr>
                <w:rFonts w:hint="eastAsia"/>
                <w:color w:val="000000" w:themeColor="text1"/>
                <w:sz w:val="24"/>
                <w:lang w:val="en-US" w:eastAsia="zh-CN" w:bidi="ar"/>
                <w14:textFill>
                  <w14:solidFill>
                    <w14:schemeClr w14:val="tx1"/>
                  </w14:solidFill>
                </w14:textFill>
              </w:rPr>
              <w:t>75</w:t>
            </w:r>
          </w:p>
        </w:tc>
        <w:tc>
          <w:tcPr>
            <w:tcW w:w="315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HDPE管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149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污水井</w:t>
            </w:r>
          </w:p>
        </w:tc>
        <w:tc>
          <w:tcPr>
            <w:tcW w:w="235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D1000</w:t>
            </w:r>
          </w:p>
        </w:tc>
        <w:tc>
          <w:tcPr>
            <w:tcW w:w="70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座</w:t>
            </w:r>
          </w:p>
        </w:tc>
        <w:tc>
          <w:tcPr>
            <w:tcW w:w="88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315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做法参照04S531-5-14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149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水表井</w:t>
            </w:r>
          </w:p>
        </w:tc>
        <w:tc>
          <w:tcPr>
            <w:tcW w:w="235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2150mm×1100mm</w:t>
            </w:r>
          </w:p>
        </w:tc>
        <w:tc>
          <w:tcPr>
            <w:tcW w:w="70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座</w:t>
            </w:r>
          </w:p>
        </w:tc>
        <w:tc>
          <w:tcPr>
            <w:tcW w:w="88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3151"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土建做法参照04S531-4-8，</w:t>
            </w:r>
          </w:p>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安装做法详见07MS101-2-134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2"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1491" w:type="dxa"/>
            <w:noWrap w:val="0"/>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一体化污水处理站</w:t>
            </w:r>
          </w:p>
        </w:tc>
        <w:tc>
          <w:tcPr>
            <w:tcW w:w="235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WSZ-4，处理量4</w:t>
            </w:r>
            <w:r>
              <w:rPr>
                <w:rFonts w:hint="eastAsia"/>
                <w:color w:val="000000" w:themeColor="text1"/>
                <w:sz w:val="24"/>
                <w:lang w:val="en-US" w:eastAsia="zh-CN" w:bidi="ar"/>
                <w14:textFill>
                  <w14:solidFill>
                    <w14:schemeClr w14:val="tx1"/>
                  </w14:solidFill>
                </w14:textFill>
              </w:rPr>
              <w:t>m³</w:t>
            </w:r>
            <w:r>
              <w:rPr>
                <w:rFonts w:hint="eastAsia"/>
                <w:color w:val="000000" w:themeColor="text1"/>
                <w:sz w:val="24"/>
                <w:lang w:bidi="ar"/>
                <w14:textFill>
                  <w14:solidFill>
                    <w14:schemeClr w14:val="tx1"/>
                  </w14:solidFill>
                </w14:textFill>
              </w:rPr>
              <w:t>/h</w:t>
            </w:r>
          </w:p>
        </w:tc>
        <w:tc>
          <w:tcPr>
            <w:tcW w:w="70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座</w:t>
            </w:r>
          </w:p>
        </w:tc>
        <w:tc>
          <w:tcPr>
            <w:tcW w:w="885" w:type="dxa"/>
            <w:noWrap w:val="0"/>
            <w:vAlign w:val="center"/>
          </w:tcPr>
          <w:p>
            <w:pPr>
              <w:spacing w:line="240" w:lineRule="auto"/>
              <w:ind w:firstLine="0" w:firstLineChars="0"/>
              <w:jc w:val="center"/>
              <w:rPr>
                <w:rFonts w:hint="eastAsia"/>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1</w:t>
            </w:r>
          </w:p>
        </w:tc>
        <w:tc>
          <w:tcPr>
            <w:tcW w:w="3151" w:type="dxa"/>
            <w:noWrap w:val="0"/>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成品，由专业厂家安装</w:t>
            </w:r>
          </w:p>
        </w:tc>
      </w:tr>
      <w:bookmarkEnd w:id="141"/>
      <w:bookmarkEnd w:id="142"/>
      <w:bookmarkEnd w:id="143"/>
      <w:bookmarkEnd w:id="144"/>
      <w:bookmarkEnd w:id="145"/>
      <w:bookmarkEnd w:id="146"/>
    </w:tbl>
    <w:p>
      <w:pPr>
        <w:pStyle w:val="4"/>
        <w:ind w:firstLine="600"/>
        <w:rPr>
          <w:color w:val="000000" w:themeColor="text1"/>
          <w14:textFill>
            <w14:solidFill>
              <w14:schemeClr w14:val="tx1"/>
            </w14:solidFill>
          </w14:textFill>
        </w:rPr>
      </w:pPr>
      <w:r>
        <w:rPr>
          <w:rFonts w:hint="eastAsia"/>
          <w:color w:val="000000" w:themeColor="text1"/>
          <w14:textFill>
            <w14:solidFill>
              <w14:schemeClr w14:val="tx1"/>
            </w14:solidFill>
          </w14:textFill>
        </w:rPr>
        <w:t>6.3.6暖通工程</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（1）工程概况</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本工程为囊谦县黑青稞啤酒生产线引进采购安装项目，建设地点位于青海省玉树州囊谦县香达镇扶贫产业园内，本次将原有车间改造为啤酒生产车间，原有建筑建筑面积为</w:t>
      </w:r>
      <w:r>
        <w:rPr>
          <w:color w:val="000000" w:themeColor="text1"/>
          <w14:textFill>
            <w14:solidFill>
              <w14:schemeClr w14:val="tx1"/>
            </w14:solidFill>
          </w14:textFill>
        </w:rPr>
        <w:t>1082.52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。地上一层，柱顶高6.00m，屋脊结构梁顶高7.60m，室内外高差为0.20m。</w:t>
      </w:r>
      <w:r>
        <w:rPr>
          <w:rFonts w:hint="eastAsia"/>
          <w:color w:val="000000" w:themeColor="text1"/>
          <w14:textFill>
            <w14:solidFill>
              <w14:schemeClr w14:val="tx1"/>
            </w14:solidFill>
          </w14:textFill>
        </w:rPr>
        <w:t>结构形式为门式刚结构，耐火等级为二级，火灾危险性分类为丙类。</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）设计内容</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采暖系统：已建有散热器采暖系统。</w:t>
      </w:r>
      <w:r>
        <w:rPr>
          <w:color w:val="000000" w:themeColor="text1"/>
          <w14:textFill>
            <w14:solidFill>
              <w14:schemeClr w14:val="tx1"/>
            </w14:solidFill>
          </w14:textFill>
        </w:rPr>
        <w:t>本次根据改造后的建筑布局调整已有散热器采暖系统。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通风系统：卫生间、更衣间设置机械通风系统。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排烟系统：改造后的疏散走道设置机械排烟系统。</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（3）设计依据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《工业建筑供暖通风与空气调节设计规范》（</w:t>
      </w:r>
      <w:r>
        <w:rPr>
          <w:color w:val="000000" w:themeColor="text1"/>
          <w14:textFill>
            <w14:solidFill>
              <w14:schemeClr w14:val="tx1"/>
            </w14:solidFill>
          </w14:textFill>
        </w:rPr>
        <w:t>GB 50019-2015</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50016-2014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（2018年版）</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《建筑防烟排烟系统技术标准》（</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51251-2017</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《建筑给水排水及采暖工程施工质量验收规范》（</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50242-2002</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《通风与空调工程施工质量验收规范》（</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50243-2016</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《洁净厂房设计规范》（</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50073-2013</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《建筑机电工程抗震设计规范》（</w:t>
      </w:r>
      <w:r>
        <w:rPr>
          <w:color w:val="000000" w:themeColor="text1"/>
          <w14:textFill>
            <w14:solidFill>
              <w14:schemeClr w14:val="tx1"/>
            </w14:solidFill>
          </w14:textFill>
        </w:rPr>
        <w:t>GB</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50981-2014</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《全国民用建筑工程设计技术措施》（</w:t>
      </w:r>
      <w:r>
        <w:rPr>
          <w:color w:val="000000" w:themeColor="text1"/>
          <w14:textFill>
            <w14:solidFill>
              <w14:schemeClr w14:val="tx1"/>
            </w14:solidFill>
          </w14:textFill>
        </w:rPr>
        <w:t>暖通空调·动力</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（2009年版）</w:t>
      </w:r>
      <w:r>
        <w:rPr>
          <w:rFonts w:hint="eastAsia"/>
          <w:color w:val="000000" w:themeColor="text1"/>
          <w14:textFill>
            <w14:solidFill>
              <w14:schemeClr w14:val="tx1"/>
            </w14:solidFill>
          </w14:textFill>
        </w:rPr>
        <w:t>；</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《工业建筑节能设计统一标准》（</w:t>
      </w:r>
      <w:r>
        <w:rPr>
          <w:color w:val="000000" w:themeColor="text1"/>
          <w14:textFill>
            <w14:solidFill>
              <w14:schemeClr w14:val="tx1"/>
            </w14:solidFill>
          </w14:textFill>
        </w:rPr>
        <w:t>GB 51245-2017</w:t>
      </w:r>
      <w:r>
        <w:rPr>
          <w:rFonts w:hint="eastAsia"/>
          <w:color w:val="000000" w:themeColor="text1"/>
          <w14:textFill>
            <w14:solidFill>
              <w14:schemeClr w14:val="tx1"/>
            </w14:solidFill>
          </w14:textFill>
        </w:rPr>
        <w:t>）。</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（4）暖通室内外气象参数</w:t>
      </w:r>
    </w:p>
    <w:p>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室外设计参数表</w:t>
      </w:r>
    </w:p>
    <w:p>
      <w:pPr>
        <w:spacing w:line="240" w:lineRule="auto"/>
        <w:ind w:firstLine="0" w:firstLineChars="0"/>
        <w:jc w:val="left"/>
        <w:rPr>
          <w:rFonts w:hint="eastAsia"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6-1</w:t>
      </w:r>
      <w:r>
        <w:rPr>
          <w:rFonts w:hint="eastAsia" w:cs="宋体"/>
          <w:b/>
          <w:bCs/>
          <w:color w:val="000000" w:themeColor="text1"/>
          <w:sz w:val="21"/>
          <w:szCs w:val="21"/>
          <w:lang w:val="en-US" w:eastAsia="zh-CN"/>
          <w14:textFill>
            <w14:solidFill>
              <w14:schemeClr w14:val="tx1"/>
            </w14:solidFill>
          </w14:textFill>
        </w:rPr>
        <w:t>3</w:t>
      </w:r>
    </w:p>
    <w:tbl>
      <w:tblPr>
        <w:tblStyle w:val="40"/>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09"/>
        <w:gridCol w:w="5577"/>
        <w:gridCol w:w="230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59"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3002" w:type="pct"/>
            <w:vAlign w:val="center"/>
          </w:tcPr>
          <w:p>
            <w:pPr>
              <w:spacing w:line="240" w:lineRule="auto"/>
              <w:ind w:firstLine="0" w:firstLineChars="0"/>
              <w:jc w:val="center"/>
              <w:rPr>
                <w:rFonts w:hint="eastAsia" w:eastAsia="仿宋"/>
                <w:b/>
                <w:color w:val="000000" w:themeColor="text1"/>
                <w:sz w:val="24"/>
                <w:lang w:eastAsia="zh-CN"/>
                <w14:textFill>
                  <w14:solidFill>
                    <w14:schemeClr w14:val="tx1"/>
                  </w14:solidFill>
                </w14:textFill>
              </w:rPr>
            </w:pPr>
            <w:r>
              <w:rPr>
                <w:rFonts w:hint="eastAsia"/>
                <w:b/>
                <w:color w:val="000000" w:themeColor="text1"/>
                <w:sz w:val="24"/>
                <w:lang w:eastAsia="zh-CN"/>
                <w14:textFill>
                  <w14:solidFill>
                    <w14:schemeClr w14:val="tx1"/>
                  </w14:solidFill>
                </w14:textFill>
              </w:rPr>
              <w:t>名称</w:t>
            </w:r>
          </w:p>
        </w:tc>
        <w:tc>
          <w:tcPr>
            <w:tcW w:w="1239"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参数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冬季室外大气压力</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647.5</w:t>
            </w:r>
            <w:r>
              <w:rPr>
                <w:rFonts w:hint="eastAsia"/>
                <w:color w:val="000000" w:themeColor="text1"/>
                <w:sz w:val="24"/>
                <w14:textFill>
                  <w14:solidFill>
                    <w14:schemeClr w14:val="tx1"/>
                  </w14:solidFill>
                </w14:textFill>
              </w:rPr>
              <w:t>hPa</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供暖室外计算温度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冬季通风室外计算温度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冬季空气调节室外计算温度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冬季空调室外计算相对湿度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夏季空调室外计算干球温度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21.8℃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夏季空调室外计算湿球温度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13.1℃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夏季通风室外计算温度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17.3℃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夏季通风室外计算相对湿度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冬季室外平均风速</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1.1m/s</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11</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最多风向</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WNW</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5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w:t>
            </w:r>
          </w:p>
        </w:tc>
        <w:tc>
          <w:tcPr>
            <w:tcW w:w="3002"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最大冻土深度</w:t>
            </w:r>
          </w:p>
        </w:tc>
        <w:tc>
          <w:tcPr>
            <w:tcW w:w="123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1.04m</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室内设计参数表</w:t>
      </w:r>
    </w:p>
    <w:p>
      <w:pPr>
        <w:spacing w:line="240" w:lineRule="auto"/>
        <w:ind w:firstLine="0" w:firstLineChars="0"/>
        <w:jc w:val="left"/>
        <w:rPr>
          <w:rFonts w:hint="eastAsia" w:eastAsia="仿宋" w:cs="宋体"/>
          <w:b/>
          <w:bCs/>
          <w:color w:val="000000" w:themeColor="text1"/>
          <w:sz w:val="21"/>
          <w:szCs w:val="21"/>
          <w:lang w:val="en-US" w:eastAsia="zh-CN"/>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6-1</w:t>
      </w:r>
      <w:r>
        <w:rPr>
          <w:rFonts w:hint="eastAsia" w:cs="宋体"/>
          <w:b/>
          <w:bCs/>
          <w:color w:val="000000" w:themeColor="text1"/>
          <w:sz w:val="21"/>
          <w:szCs w:val="21"/>
          <w:lang w:val="en-US" w:eastAsia="zh-CN"/>
          <w14:textFill>
            <w14:solidFill>
              <w14:schemeClr w14:val="tx1"/>
            </w14:solidFill>
          </w14:textFill>
        </w:rPr>
        <w:t>4</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406"/>
        <w:gridCol w:w="1811"/>
        <w:gridCol w:w="946"/>
        <w:gridCol w:w="1386"/>
        <w:gridCol w:w="1336"/>
        <w:gridCol w:w="1180"/>
        <w:gridCol w:w="1223"/>
      </w:tblGrid>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757"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房间名称</w:t>
            </w:r>
          </w:p>
        </w:tc>
        <w:tc>
          <w:tcPr>
            <w:tcW w:w="975"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与室外方向上相邻相通房间的最小负压差（Pa）</w:t>
            </w:r>
          </w:p>
        </w:tc>
        <w:tc>
          <w:tcPr>
            <w:tcW w:w="509"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洁净度级别</w:t>
            </w:r>
          </w:p>
        </w:tc>
        <w:tc>
          <w:tcPr>
            <w:tcW w:w="746"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最小换气次数</w:t>
            </w:r>
          </w:p>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（次/h）</w:t>
            </w:r>
          </w:p>
        </w:tc>
        <w:tc>
          <w:tcPr>
            <w:tcW w:w="719"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温度</w:t>
            </w:r>
          </w:p>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p>
        </w:tc>
        <w:tc>
          <w:tcPr>
            <w:tcW w:w="635"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相对湿度</w:t>
            </w:r>
          </w:p>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噪声</w:t>
            </w:r>
          </w:p>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〔dB（A）〕</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灌装间</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～15</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22</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0</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发酵间</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～15</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22</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0</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糖化间</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16</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管理间、化验室</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更衣间</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25</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卫生间、水处理间等</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6</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57"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仓库</w:t>
            </w:r>
          </w:p>
        </w:tc>
        <w:tc>
          <w:tcPr>
            <w:tcW w:w="97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509"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46"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719" w:type="pct"/>
            <w:vAlign w:val="center"/>
          </w:tcPr>
          <w:p>
            <w:pPr>
              <w:spacing w:line="240" w:lineRule="auto"/>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0</w:t>
            </w:r>
          </w:p>
        </w:tc>
        <w:tc>
          <w:tcPr>
            <w:tcW w:w="635"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658" w:type="pct"/>
            <w:vAlign w:val="center"/>
          </w:tcPr>
          <w:p>
            <w:pPr>
              <w:spacing w:line="240" w:lineRule="auto"/>
              <w:ind w:firstLine="0" w:firstLineChars="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bl>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（5）热源及热负荷</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本工程围护结构采暖耗热负荷为</w:t>
      </w:r>
      <w:r>
        <w:rPr>
          <w:color w:val="000000" w:themeColor="text1"/>
          <w14:textFill>
            <w14:solidFill>
              <w14:schemeClr w14:val="tx1"/>
            </w14:solidFill>
          </w14:textFill>
        </w:rPr>
        <w:t>96.11KW，单位面积热指标为88.78W／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本项目热源为院内已建锅炉房，热媒为</w:t>
      </w:r>
      <w:r>
        <w:rPr>
          <w:color w:val="000000" w:themeColor="text1"/>
          <w14:textFill>
            <w14:solidFill>
              <w14:schemeClr w14:val="tx1"/>
            </w14:solidFill>
          </w14:textFill>
        </w:rPr>
        <w:t>85／60℃的热水，系统工作压力0.60MPa。</w:t>
      </w:r>
      <w:r>
        <w:rPr>
          <w:rFonts w:hint="eastAsia"/>
          <w:color w:val="000000" w:themeColor="text1"/>
          <w14:textFill>
            <w14:solidFill>
              <w14:schemeClr w14:val="tx1"/>
            </w14:solidFill>
          </w14:textFill>
        </w:rPr>
        <w:t>采暖系统补水定压由锅炉房统一考虑。</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（6）采暖、</w:t>
      </w:r>
      <w:r>
        <w:rPr>
          <w:color w:val="000000" w:themeColor="text1"/>
          <w14:textFill>
            <w14:solidFill>
              <w14:schemeClr w14:val="tx1"/>
            </w14:solidFill>
          </w14:textFill>
        </w:rPr>
        <w:t>空调</w:t>
      </w:r>
      <w:r>
        <w:rPr>
          <w:rFonts w:hint="eastAsia"/>
          <w:color w:val="000000" w:themeColor="text1"/>
          <w14:textFill>
            <w14:solidFill>
              <w14:schemeClr w14:val="tx1"/>
            </w14:solidFill>
          </w14:textFill>
        </w:rPr>
        <w:t>设计</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已建采暖系统形式：采用下供下回双管同程式采暖系统，供、回水干管敷设在一层采暖地沟内。啤酒灌装间及发酵间为</w:t>
      </w:r>
      <w:r>
        <w:rPr>
          <w:color w:val="000000" w:themeColor="text1"/>
          <w14:textFill>
            <w14:solidFill>
              <w14:schemeClr w14:val="tx1"/>
            </w14:solidFill>
          </w14:textFill>
        </w:rPr>
        <w:t>8级洁净区域，不得采用散热器采暖。净化空调由专业厂家二次设计。</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已建热计量装置：安装在室外采暖地沟专用热计小室内。入口装置做法详图集青</w:t>
      </w:r>
      <w:r>
        <w:rPr>
          <w:color w:val="000000" w:themeColor="text1"/>
          <w14:textFill>
            <w14:solidFill>
              <w14:schemeClr w14:val="tx1"/>
            </w14:solidFill>
          </w14:textFill>
        </w:rPr>
        <w:t>18N1-27页。</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采暖管材：采暖管道均采用钢管，管径≥</w:t>
      </w:r>
      <w:r>
        <w:rPr>
          <w:color w:val="000000" w:themeColor="text1"/>
          <w14:textFill>
            <w14:solidFill>
              <w14:schemeClr w14:val="tx1"/>
            </w14:solidFill>
          </w14:textFill>
        </w:rPr>
        <w:t>DN50采用无缝钢管，管径&lt;DN50采用焊接钢管。</w:t>
      </w:r>
      <w:r>
        <w:rPr>
          <w:rFonts w:hint="eastAsia"/>
          <w:color w:val="000000" w:themeColor="text1"/>
          <w14:textFill>
            <w14:solidFill>
              <w14:schemeClr w14:val="tx1"/>
            </w14:solidFill>
          </w14:textFill>
        </w:rPr>
        <w:t>管道连接方式：管径≥</w:t>
      </w:r>
      <w:r>
        <w:rPr>
          <w:color w:val="000000" w:themeColor="text1"/>
          <w14:textFill>
            <w14:solidFill>
              <w14:schemeClr w14:val="tx1"/>
            </w14:solidFill>
          </w14:textFill>
        </w:rPr>
        <w:t>DN32者，采用焊接连接；管径&lt;DN32者，采用丝扣连接。</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本工程散热器选用内防腐铜铝复合柱翼</w:t>
      </w:r>
      <w:r>
        <w:rPr>
          <w:color w:val="000000" w:themeColor="text1"/>
          <w14:textFill>
            <w14:solidFill>
              <w14:schemeClr w14:val="tx1"/>
            </w14:solidFill>
          </w14:textFill>
        </w:rPr>
        <w:t>SCTLZY8-7.5／X-1.0型，散热器进出水方式：同侧进出，</w:t>
      </w:r>
      <w:r>
        <w:rPr>
          <w:rFonts w:hint="eastAsia"/>
          <w:color w:val="000000" w:themeColor="text1"/>
          <w14:textFill>
            <w14:solidFill>
              <w14:schemeClr w14:val="tx1"/>
            </w14:solidFill>
          </w14:textFill>
        </w:rPr>
        <w:t>散热器高度</w:t>
      </w:r>
      <w:r>
        <w:rPr>
          <w:color w:val="000000" w:themeColor="text1"/>
          <w14:textFill>
            <w14:solidFill>
              <w14:schemeClr w14:val="tx1"/>
            </w14:solidFill>
          </w14:textFill>
        </w:rPr>
        <w:t>1045mm，中心距1000mm，工作压力1.0MPa，实际工况△T=47.5℃时散热量147.9W／片，散热器距地150mm高挂装。散热器供、回水支管上设铜制闸阀。散热器支管管径均为DN20。</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洁净区净化设计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新风：新风量满足室内所需的正压风量和每个人不低于4</w:t>
      </w:r>
      <w:r>
        <w:rPr>
          <w:color w:val="000000" w:themeColor="text1"/>
          <w14:textFill>
            <w14:solidFill>
              <w14:schemeClr w14:val="tx1"/>
            </w14:solidFill>
          </w14:textFill>
        </w:rPr>
        <w:t>0m³</w:t>
      </w:r>
      <w:r>
        <w:rPr>
          <w:rFonts w:hint="eastAsia"/>
          <w:color w:val="000000" w:themeColor="text1"/>
          <w14:textFill>
            <w14:solidFill>
              <w14:schemeClr w14:val="tx1"/>
            </w14:solidFill>
          </w14:textFill>
        </w:rPr>
        <w:t>/h国家标准。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气流组织形式：灌装间、</w:t>
      </w:r>
      <w:r>
        <w:rPr>
          <w:color w:val="000000" w:themeColor="text1"/>
          <w14:textFill>
            <w14:solidFill>
              <w14:schemeClr w14:val="tx1"/>
            </w14:solidFill>
          </w14:textFill>
        </w:rPr>
        <w:t>发酵间</w:t>
      </w:r>
      <w:r>
        <w:rPr>
          <w:rFonts w:hint="eastAsia"/>
          <w:color w:val="000000" w:themeColor="text1"/>
          <w14:textFill>
            <w14:solidFill>
              <w14:schemeClr w14:val="tx1"/>
            </w14:solidFill>
          </w14:textFill>
        </w:rPr>
        <w:t>按照8度洁净等级设计，采用全送全排的换气方式，室内净化区域内顶送风、下侧回风。</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压差</w:t>
      </w:r>
      <w:r>
        <w:rPr>
          <w:color w:val="000000" w:themeColor="text1"/>
          <w14:textFill>
            <w14:solidFill>
              <w14:schemeClr w14:val="tx1"/>
            </w14:solidFill>
          </w14:textFill>
        </w:rPr>
        <w:t>控制：</w:t>
      </w:r>
      <w:r>
        <w:rPr>
          <w:rFonts w:hint="eastAsia"/>
          <w:color w:val="000000" w:themeColor="text1"/>
          <w14:textFill>
            <w14:solidFill>
              <w14:schemeClr w14:val="tx1"/>
            </w14:solidFill>
          </w14:textFill>
        </w:rPr>
        <w:t>灌装间、</w:t>
      </w:r>
      <w:r>
        <w:rPr>
          <w:color w:val="000000" w:themeColor="text1"/>
          <w14:textFill>
            <w14:solidFill>
              <w14:schemeClr w14:val="tx1"/>
            </w14:solidFill>
          </w14:textFill>
        </w:rPr>
        <w:t>发酵间</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非洁净区域保持</w:t>
      </w:r>
      <w:r>
        <w:rPr>
          <w:rFonts w:hint="eastAsia"/>
          <w:color w:val="000000" w:themeColor="text1"/>
          <w14:textFill>
            <w14:solidFill>
              <w14:schemeClr w14:val="tx1"/>
            </w14:solidFill>
          </w14:textFill>
        </w:rPr>
        <w:t>5P</w:t>
      </w:r>
      <w:r>
        <w:rPr>
          <w:color w:val="000000" w:themeColor="text1"/>
          <w14:textFill>
            <w14:solidFill>
              <w14:schemeClr w14:val="tx1"/>
            </w14:solidFill>
          </w14:textFill>
        </w:rPr>
        <w:t>a正压差，</w:t>
      </w:r>
      <w:r>
        <w:rPr>
          <w:rFonts w:hint="eastAsia"/>
          <w:color w:val="000000" w:themeColor="text1"/>
          <w14:textFill>
            <w14:solidFill>
              <w14:schemeClr w14:val="tx1"/>
            </w14:solidFill>
          </w14:textFill>
        </w:rPr>
        <w:t>室内压力差必须保证梯度要求。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净化空调机组：采用直接膨胀式恒温恒湿空调机组，设备的冷热源来自室外机和院内供热管网，加湿器采用电极加湿器；</w:t>
      </w:r>
      <w:r>
        <w:rPr>
          <w:color w:val="000000" w:themeColor="text1"/>
          <w14:textFill>
            <w14:solidFill>
              <w14:schemeClr w14:val="tx1"/>
            </w14:solidFill>
          </w14:textFill>
        </w:rPr>
        <w:t xml:space="preserve"> </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空调机组功能段：混合段（新风段）+粗效段+表冷段+电加热电加湿段+风机段+均流段+中效过滤段+出风段。</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机组箱体采用特有快装式框架结构，采用铝合金框架结构，机组结构强度满足EN1886中的D1等级；气密性满足EN1886中的L2级；整体保温性能满足EN1886中的T2级；机组箱体采用铝合金框架防冷桥结构, 防冷桥性能达EN1886中的TB2级，保证在任何自然条件下机组外部无凝露现象。有防止冷桥的措施，其冷桥因子应达到不低于EN1886标准中的TB2级；</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箱板为双面保温板，外板采用外贴PE保护膜的白色烤漆镀锌钢板，厚度不小于0.6mm，内板采用蓝色镀锌钢板，厚度不小于0.6mm。箱板内注无氟环保型硬质聚氨脂与内外板直接发泡一次成型，形成高强度板，厚度达50mm，箱板内外板之间采用防冷桥结构，以保证内、外板之间无冷桥，防冷桥性能满足EN1886中的TB2等级。发泡料为进口环保型无氟硬质聚氨脂，对环境无污染，密度不小于45kg/m3，导热系数＜0.0213W/m·k，整体保温性能满足EN1886中的T2等级。具有良好的隔声性能，隔声能力＞35dB（A），机组的隔音值Dc=(51.1-71.5）。</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凝结水盘采用超卫型空调箱用表冷器中间接水盘，采用下沉式干式水盘工艺，1.0mm304#抗菌型不锈钢板材质制作，减少细菌滋生，减少了下盘管翅片的水膜厚度，更有利于热量转换，有利于空调机组的稳定运行；</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冷盘管采用铜管串防腐亲水铝箔，换热效率高，并采用机械速拉胀技术，保证每一片翅片与通关结合牢靠。</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空调处理机组采用组合式功能段，风机段设观察窗，可以在不停机的情况下，从外部观察风机的运行状况；表冷段和电加热段以及其他主要功能段均应有检修门，可以针对具体功能段进行故障检修。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空气净化系统设置粗、中、高三级空气过滤。第一级粗效过滤设在空调箱内新风段，第二级中效过滤器设置在空气处理机组的出风段，第三级高效过滤器设置在系统的末端送风口处。</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新风口处采取有效的防雨措施。新风口处安装防鼠、防昆虫、阻挡绒毛等的保护网，且易于拆装。新风口要远离污染源。</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净化空调机组设于专用净化机房内。</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（7）通风设计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卫生间按</w:t>
      </w:r>
      <w:r>
        <w:rPr>
          <w:color w:val="000000" w:themeColor="text1"/>
          <w14:textFill>
            <w14:solidFill>
              <w14:schemeClr w14:val="tx1"/>
            </w14:solidFill>
          </w14:textFill>
        </w:rPr>
        <w:t>15次／h、更衣间按6次／h换气次数计算排风量设置吸顶式换气扇。换气扇自带防回流装置，底与卫生间吊顶平齐。</w:t>
      </w:r>
      <w:r>
        <w:rPr>
          <w:rFonts w:hint="eastAsia"/>
          <w:color w:val="000000" w:themeColor="text1"/>
          <w14:textFill>
            <w14:solidFill>
              <w14:schemeClr w14:val="tx1"/>
            </w14:solidFill>
          </w14:textFill>
        </w:rPr>
        <w:t>排风管管材选用</w:t>
      </w:r>
      <w:r>
        <w:rPr>
          <w:color w:val="000000" w:themeColor="text1"/>
          <w14:textFill>
            <w14:solidFill>
              <w14:schemeClr w14:val="tx1"/>
            </w14:solidFill>
          </w14:textFill>
        </w:rPr>
        <w:t>UPVC塑料管。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原料处理工段，将麦芽倒入投料坑，由机械输送进入进行去石、除杂、除铁，秤量后进入麦芽暂贮箱，然后进入麦芽湿粉碎机进行粉碎，因此</w:t>
      </w:r>
      <w:r>
        <w:rPr>
          <w:color w:val="000000" w:themeColor="text1"/>
          <w14:textFill>
            <w14:solidFill>
              <w14:schemeClr w14:val="tx1"/>
            </w14:solidFill>
          </w14:textFill>
        </w:rPr>
        <w:t>，本工程麦芽粉碎间不</w:t>
      </w:r>
      <w:r>
        <w:rPr>
          <w:rFonts w:hint="eastAsia"/>
          <w:color w:val="000000" w:themeColor="text1"/>
          <w14:textFill>
            <w14:solidFill>
              <w14:schemeClr w14:val="tx1"/>
            </w14:solidFill>
          </w14:textFill>
        </w:rPr>
        <w:t>需</w:t>
      </w:r>
      <w:r>
        <w:rPr>
          <w:color w:val="000000" w:themeColor="text1"/>
          <w14:textFill>
            <w14:solidFill>
              <w14:schemeClr w14:val="tx1"/>
            </w14:solidFill>
          </w14:textFill>
        </w:rPr>
        <w:t>设置事故通风设施。</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（8）排烟设计</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一层走道设机械排烟设施。走道面积</w:t>
      </w:r>
      <w:r>
        <w:rPr>
          <w:color w:val="000000" w:themeColor="text1"/>
          <w14:textFill>
            <w14:solidFill>
              <w14:schemeClr w14:val="tx1"/>
            </w14:solidFill>
          </w14:textFill>
        </w:rPr>
        <w:t>82.65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净宽</w:t>
      </w:r>
      <w:r>
        <w:rPr>
          <w:color w:val="000000" w:themeColor="text1"/>
          <w14:textFill>
            <w14:solidFill>
              <w14:schemeClr w14:val="tx1"/>
            </w14:solidFill>
          </w14:textFill>
        </w:rPr>
        <w:t>1.6m＜2.5m，走道长度41.3m＜60m，为一个防烟分区。</w:t>
      </w:r>
      <w:r>
        <w:rPr>
          <w:rFonts w:hint="eastAsia"/>
          <w:color w:val="000000" w:themeColor="text1"/>
          <w14:textFill>
            <w14:solidFill>
              <w14:schemeClr w14:val="tx1"/>
            </w14:solidFill>
          </w14:textFill>
        </w:rPr>
        <w:t>走道排烟量按每平方米不小于</w:t>
      </w:r>
      <w:r>
        <w:rPr>
          <w:color w:val="000000" w:themeColor="text1"/>
          <w14:textFill>
            <w14:solidFill>
              <w14:schemeClr w14:val="tx1"/>
            </w14:solidFill>
          </w14:textFill>
        </w:rPr>
        <w:t>60m³／h计算，且取值不小于13000m³／h。</w:t>
      </w:r>
      <w:r>
        <w:rPr>
          <w:rFonts w:hint="eastAsia"/>
          <w:color w:val="000000" w:themeColor="text1"/>
          <w14:textFill>
            <w14:solidFill>
              <w14:schemeClr w14:val="tx1"/>
            </w14:solidFill>
          </w14:textFill>
        </w:rPr>
        <w:t>走道净高</w:t>
      </w:r>
      <w:r>
        <w:rPr>
          <w:color w:val="000000" w:themeColor="text1"/>
          <w14:textFill>
            <w14:solidFill>
              <w14:schemeClr w14:val="tx1"/>
            </w14:solidFill>
          </w14:textFill>
        </w:rPr>
        <w:t>2.8m，最小清晰高度1.4m，设计清晰高度1.8m，储烟仓厚度为1m。</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一层灌装间设机械排烟设施。灌装间面积333.05㎡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净高5.6</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净宽</w:t>
      </w:r>
      <w:r>
        <w:rPr>
          <w:color w:val="000000" w:themeColor="text1"/>
          <w14:textFill>
            <w14:solidFill>
              <w14:schemeClr w14:val="tx1"/>
            </w14:solidFill>
          </w14:textFill>
        </w:rPr>
        <w:t>11.9m＜36m，长度30.9m＜36m，为一个防烟分区。</w:t>
      </w:r>
      <w:r>
        <w:rPr>
          <w:rFonts w:hint="eastAsia"/>
          <w:color w:val="000000" w:themeColor="text1"/>
          <w14:textFill>
            <w14:solidFill>
              <w14:schemeClr w14:val="tx1"/>
            </w14:solidFill>
          </w14:textFill>
        </w:rPr>
        <w:t>排烟量按每平方米不小于</w:t>
      </w:r>
      <w:r>
        <w:rPr>
          <w:color w:val="000000" w:themeColor="text1"/>
          <w14:textFill>
            <w14:solidFill>
              <w14:schemeClr w14:val="tx1"/>
            </w14:solidFill>
          </w14:textFill>
        </w:rPr>
        <w:t>60m³／h计算，且取值不小于15000m³／h。</w:t>
      </w:r>
      <w:r>
        <w:rPr>
          <w:rFonts w:hint="eastAsia"/>
          <w:color w:val="000000" w:themeColor="text1"/>
          <w14:textFill>
            <w14:solidFill>
              <w14:schemeClr w14:val="tx1"/>
            </w14:solidFill>
          </w14:textFill>
        </w:rPr>
        <w:t>灌装间净高</w:t>
      </w:r>
      <w:r>
        <w:rPr>
          <w:color w:val="000000" w:themeColor="text1"/>
          <w14:textFill>
            <w14:solidFill>
              <w14:schemeClr w14:val="tx1"/>
            </w14:solidFill>
          </w14:textFill>
        </w:rPr>
        <w:t>5.6m，最小清晰高度2.16m，设计清晰高度2.2m，储烟仓厚度为3.4m。</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排烟风机负担具有不同</w:t>
      </w:r>
      <w:r>
        <w:rPr>
          <w:color w:val="000000" w:themeColor="text1"/>
          <w14:textFill>
            <w14:solidFill>
              <w14:schemeClr w14:val="tx1"/>
            </w14:solidFill>
          </w14:textFill>
        </w:rPr>
        <w:t>净高场所时</w:t>
      </w:r>
      <w:r>
        <w:rPr>
          <w:rFonts w:hint="eastAsia"/>
          <w:color w:val="000000" w:themeColor="text1"/>
          <w14:textFill>
            <w14:solidFill>
              <w14:schemeClr w14:val="tx1"/>
            </w14:solidFill>
          </w14:textFill>
        </w:rPr>
        <w:t>，取</w:t>
      </w:r>
      <w:r>
        <w:rPr>
          <w:color w:val="000000" w:themeColor="text1"/>
          <w14:textFill>
            <w14:solidFill>
              <w14:schemeClr w14:val="tx1"/>
            </w14:solidFill>
          </w14:textFill>
        </w:rPr>
        <w:t>其中的最大值作为系统排烟量，</w:t>
      </w:r>
      <w:r>
        <w:rPr>
          <w:rFonts w:hint="eastAsia"/>
          <w:color w:val="000000" w:themeColor="text1"/>
          <w14:textFill>
            <w14:solidFill>
              <w14:schemeClr w14:val="tx1"/>
            </w14:solidFill>
          </w14:textFill>
        </w:rPr>
        <w:t>排烟风机风量选型附加</w:t>
      </w:r>
      <w:r>
        <w:rPr>
          <w:color w:val="000000" w:themeColor="text1"/>
          <w14:textFill>
            <w14:solidFill>
              <w14:schemeClr w14:val="tx1"/>
            </w14:solidFill>
          </w14:textFill>
        </w:rPr>
        <w:t>1.2倍漏风系数，即风机排烟量为=333.05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×60m³／</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×1.2=23979.6 m</w:t>
      </w:r>
      <w:r>
        <w:rPr>
          <w:rFonts w:ascii="Calibri" w:hAnsi="Calibri" w:cs="Calibri"/>
          <w:color w:val="000000" w:themeColor="text1"/>
          <w14:textFill>
            <w14:solidFill>
              <w14:schemeClr w14:val="tx1"/>
            </w14:solidFill>
          </w14:textFill>
        </w:rPr>
        <w:t>³</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排烟风机设置于专用排烟机房内。</w:t>
      </w:r>
    </w:p>
    <w:p>
      <w:pPr>
        <w:ind w:firstLine="56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排烟自动控制：</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机械排烟系统应与火灾自动报警系统联动，其联动控制应符合现行国家标准《火灾自动报警系统设计规范》GB50116的有关规定。</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排烟风机的控制方式应符合下列规定：</w:t>
      </w:r>
      <w:r>
        <w:rPr>
          <w:color w:val="000000" w:themeColor="text1"/>
          <w14:textFill>
            <w14:solidFill>
              <w14:schemeClr w14:val="tx1"/>
            </w14:solidFill>
          </w14:textFill>
        </w:rPr>
        <w:t>现场手动启动；火灾自动报警系统自动启动；消防控制室手动启动；系统中任一排烟阀或排烟口开启时，排烟风机自动启动；排烟防火阀在280℃时应自行关闭，并应连锁关闭排烟风机。</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排烟管道下列部位应设置排烟防火阀：</w:t>
      </w:r>
      <w:r>
        <w:rPr>
          <w:color w:val="000000" w:themeColor="text1"/>
          <w14:textFill>
            <w14:solidFill>
              <w14:schemeClr w14:val="tx1"/>
            </w14:solidFill>
          </w14:textFill>
        </w:rPr>
        <w:t>垂直风管与每层水平风管交接处的水平管段上；一个排烟系统负担多个防烟分区的排烟支管上；排烟风机入口处；穿越防火分区处。</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机械排烟系统中的常闭排烟阀或排烟口应具有火灾自动报警系统自动开启、消防控制室手动开启和现场手动开启功能，其开启信号应与</w:t>
      </w:r>
      <w:r>
        <w:rPr>
          <w:rFonts w:hint="eastAsia"/>
          <w:color w:val="000000" w:themeColor="text1"/>
          <w14:textFill>
            <w14:solidFill>
              <w14:schemeClr w14:val="tx1"/>
            </w14:solidFill>
          </w14:textFill>
        </w:rPr>
        <w:t>排烟风机联动。当火灾确认后，火灾自动报警系统应在</w:t>
      </w:r>
      <w:r>
        <w:rPr>
          <w:color w:val="000000" w:themeColor="text1"/>
          <w14:textFill>
            <w14:solidFill>
              <w14:schemeClr w14:val="tx1"/>
            </w14:solidFill>
          </w14:textFill>
        </w:rPr>
        <w:t>15s内联动开启相应防烟分区的全部排烟阀、排烟口、排烟风机和补风设施，</w:t>
      </w:r>
      <w:r>
        <w:rPr>
          <w:rFonts w:hint="eastAsia"/>
          <w:color w:val="000000" w:themeColor="text1"/>
          <w14:textFill>
            <w14:solidFill>
              <w14:schemeClr w14:val="tx1"/>
            </w14:solidFill>
          </w14:textFill>
        </w:rPr>
        <w:t>并应在</w:t>
      </w:r>
      <w:r>
        <w:rPr>
          <w:color w:val="000000" w:themeColor="text1"/>
          <w14:textFill>
            <w14:solidFill>
              <w14:schemeClr w14:val="tx1"/>
            </w14:solidFill>
          </w14:textFill>
        </w:rPr>
        <w:t>30s内自动关闭与排烟无关的通风、空调系统。</w:t>
      </w:r>
    </w:p>
    <w:p>
      <w:pPr>
        <w:ind w:firstLine="560"/>
        <w:rPr>
          <w:color w:val="000000" w:themeColor="text1"/>
          <w14:textFill>
            <w14:solidFill>
              <w14:schemeClr w14:val="tx1"/>
            </w14:solidFill>
          </w14:textFill>
        </w:rPr>
      </w:pPr>
      <w:r>
        <w:rPr>
          <w:color w:val="000000" w:themeColor="text1"/>
          <w14:textFill>
            <w14:solidFill>
              <w14:schemeClr w14:val="tx1"/>
            </w14:solidFill>
          </w14:textFill>
        </w:rPr>
        <w:t>消防控制设备应显示排烟系统的排烟风机、补风机、阀门等设施启闭状态。</w:t>
      </w:r>
      <w:bookmarkStart w:id="152" w:name="_Toc17295573"/>
    </w:p>
    <w:p>
      <w:pPr>
        <w:pStyle w:val="5"/>
        <w:numPr>
          <w:ilvl w:val="3"/>
          <w:numId w:val="0"/>
        </w:numPr>
        <w:ind w:firstLine="560" w:firstLineChars="200"/>
        <w:rPr>
          <w:rFonts w:ascii="方正大标宋简体" w:hAnsi="方正大标宋简体" w:eastAsia="方正大标宋简体" w:cs="方正大标宋简体"/>
          <w:b/>
          <w:bCs/>
          <w:color w:val="000000" w:themeColor="text1"/>
          <w:sz w:val="30"/>
          <w:szCs w:val="30"/>
          <w14:textFill>
            <w14:solidFill>
              <w14:schemeClr w14:val="tx1"/>
            </w14:solidFill>
          </w14:textFill>
        </w:rPr>
      </w:pPr>
      <w:r>
        <w:rPr>
          <w:rFonts w:hint="eastAsia"/>
          <w:color w:val="000000" w:themeColor="text1"/>
          <w14:textFill>
            <w14:solidFill>
              <w14:schemeClr w14:val="tx1"/>
            </w14:solidFill>
          </w14:textFill>
        </w:rPr>
        <w:t>（9）抗震支吊架设计</w:t>
      </w:r>
      <w:bookmarkEnd w:id="152"/>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为防止地震时风管系统及空调管道系统失效及跌落造成人员伤亡及财产损失，根据《建筑机电工程抗震设计规范》（GB 50981</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2014），应对机电管线系统进行抗震加固。本项目所有直径大于0.7m的圆形风管系统、所有截面积大于0.38㎡的矩形风管、大于DN65的所有水管都应设置抗震支吊架，且此项目抗震支吊架产品需通过FM认证,与混凝土采取可靠的锚固形式。抗震支吊架的设置原则为：风管的侧向支撑最大间距9m，纵向支撑最大间距18m（为保证抗震系统的整体安全性，对长度低于300mm的吊杆，也建议进行适当的补强）。所有产品需满足《建筑机电设备抗震支吊架通用技术条件》（CJ/T476-2015）。</w:t>
      </w:r>
    </w:p>
    <w:p>
      <w:pPr>
        <w:pStyle w:val="5"/>
        <w:numPr>
          <w:ilvl w:val="3"/>
          <w:numId w:val="0"/>
        </w:numPr>
        <w:ind w:firstLine="560" w:firstLineChars="200"/>
        <w:rPr>
          <w:color w:val="000000" w:themeColor="text1"/>
          <w14:textFill>
            <w14:solidFill>
              <w14:schemeClr w14:val="tx1"/>
            </w14:solidFill>
          </w14:textFill>
        </w:rPr>
      </w:pPr>
      <w:bookmarkStart w:id="153" w:name="_Toc17295574"/>
      <w:r>
        <w:rPr>
          <w:rFonts w:hint="eastAsia"/>
          <w:color w:val="000000" w:themeColor="text1"/>
          <w14:textFill>
            <w14:solidFill>
              <w14:schemeClr w14:val="tx1"/>
            </w14:solidFill>
          </w14:textFill>
        </w:rPr>
        <w:t>（10）环保设计</w:t>
      </w:r>
      <w:bookmarkEnd w:id="153"/>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1）消音隔振</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①各通风机房内墙、门、窗做吸音隔声处理。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②凡有振动的设备，如风机等设减振基座或减振吊架。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③与设备连接的接管上设柔性减振接头。通风机采用低噪声高效风机设备。</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2）废气排放与空气品质</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①卫生间设机械排风，改善空气品质。</w:t>
      </w:r>
    </w:p>
    <w:p>
      <w:pPr>
        <w:ind w:firstLine="560"/>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②各排风房间根据使用要求确保在室人员的新风量。</w:t>
      </w:r>
    </w:p>
    <w:p>
      <w:pPr>
        <w:pStyle w:val="4"/>
        <w:ind w:firstLine="600"/>
        <w:rPr>
          <w:color w:val="000000" w:themeColor="text1"/>
          <w14:textFill>
            <w14:solidFill>
              <w14:schemeClr w14:val="tx1"/>
            </w14:solidFill>
          </w14:textFill>
        </w:rPr>
      </w:pPr>
      <w:r>
        <w:rPr>
          <w:rFonts w:hint="eastAsia"/>
          <w:color w:val="000000" w:themeColor="text1"/>
          <w14:textFill>
            <w14:solidFill>
              <w14:schemeClr w14:val="tx1"/>
            </w14:solidFill>
          </w14:textFill>
        </w:rPr>
        <w:t>6.3.7电气工程</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（1）工程概况</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本项目为囊谦县黑青稞啤酒生产线引进采购安装项目，建设地点位于</w:t>
      </w:r>
      <w:r>
        <w:rPr>
          <w:rFonts w:hint="eastAsia" w:ascii="仿宋" w:hAnsi="仿宋" w:eastAsia="仿宋" w:cs="仿宋"/>
          <w:color w:val="000000" w:themeColor="text1"/>
          <w:sz w:val="28"/>
          <w:szCs w:val="28"/>
          <w:lang w:val="zh-CN"/>
          <w14:textFill>
            <w14:solidFill>
              <w14:schemeClr w14:val="tx1"/>
            </w14:solidFill>
          </w14:textFill>
        </w:rPr>
        <w:t>囊谦县</w:t>
      </w:r>
      <w:r>
        <w:rPr>
          <w:rFonts w:hint="eastAsia" w:cs="仿宋"/>
          <w:color w:val="000000" w:themeColor="text1"/>
          <w:sz w:val="28"/>
          <w:szCs w:val="28"/>
          <w:lang w:val="zh-CN"/>
          <w14:textFill>
            <w14:solidFill>
              <w14:schemeClr w14:val="tx1"/>
            </w14:solidFill>
          </w14:textFill>
        </w:rPr>
        <w:t>香达镇</w:t>
      </w:r>
      <w:r>
        <w:rPr>
          <w:rFonts w:hint="eastAsia"/>
          <w:color w:val="000000" w:themeColor="text1"/>
          <w14:textFill>
            <w14:solidFill>
              <w14:schemeClr w14:val="tx1"/>
            </w14:solidFill>
          </w14:textFill>
        </w:rPr>
        <w:t>扶贫产业园内，利用现有的生产车间1栋（1F），原设计总建筑面积1082.52㎡，原建筑为大空间，内部只有管理间，本次为除管理间外其他房间的分隔改造，本次改造后面积1248.14㎡，包括一层面积1082.52㎡，参观走道面积165.62㎡，将现有的车间进行重新分隔改造。主要功能房间有麦芽仓库、包材仓库、辅料仓库、麦芽粉碎间、糖化系统车间、发酵系统车间、酵母扩培系统车间、灌装间、空压间、锅炉间、化验室、水处理间、制净间；消控室、空调机房、排烟机房、员工更衣间及卫生间、员工通道、参观走廊等，本工程整个为一个防火分区。本工程工艺设备动力需求用电负荷为100KW，原有管理间内预留有一台100KW的动力预留配电柜，此预留配电柜二次利用，可作为本次车间的动力预留用电。由于本次为装修分隔改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故原有接地防雷系统可以二次利用，本次不再重复设计，原有照明配电箱废除，原有照明进线电缆可二次利用，原建筑未设计火灾自动报警系统，故本次新增火灾自动报警系统和消控室，原有综合布线箱二次利用，原有应急照明系统废除，本次重新设计。原有照明系统由于房间分隔变动较大原因，故原有照明系统废除，重新设计，原先未设计防排烟系统，本次新增一套防排烟控制系统，进线电缆新增，园区已有一台柴发机组，机组容量为100KW，负荷剩余能够满足本次新增二级负荷用电需求，园区内已有一座高低压配电室，高低压配电室内已有一台变压器，变压器容量为400KVA，负荷剩余能够满足本次改造后用电负荷需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次新增用电负荷为纯消防负荷，故新增用电负荷主电源均可由项目区原有高低压配电室内原有变压器低压侧备用配电柜供给，原有变压器负荷能够满足本次纯消防负荷用电需求，备用电源由原有100KW柴发机组供给。</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（2）设计依据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《民用建筑电气设计标准》（GB 51348-2019）；</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《供配电系统设计规范》（GB 50052-2016）；</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《低压配电设计规范》（GB 50054-2011）；</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《建筑设计防火规范》（GB 50016-2014）（2018版）；</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《建筑防烟排烟系统技术标准》（GB 51251-2017）；</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《综合布线系统工程设计规范》（GB 50311-2016）；</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《建筑物防雷设计规范》（GB 50057-2010）；</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《建筑照明设计标准》（GB 50034-2013）；</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《消防应急照明和疏散指示系统技术标》（GB 51309-2018）；</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《全国民用建筑工程设计技术措施-电气》（2009版）；</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《火灾自动报警系统设计规范》（GB 50116-2013）；</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《建筑机电工程抗震设计规范》（GB 50981-2014）；</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《20KV及以下变电所设计规范》（GB 50053-2013）；</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《民用建筑设计通则》（GB 50352-2005）；</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《建筑物电子信息系统防雷技术规范》（GB 50343-2012）；</w:t>
      </w:r>
    </w:p>
    <w:p>
      <w:pPr>
        <w:keepNext w:val="0"/>
        <w:keepLines w:val="0"/>
        <w:pageBreakBefore w:val="0"/>
        <w:widowControl w:val="0"/>
        <w:kinsoku/>
        <w:wordWrap/>
        <w:overflowPunct/>
        <w:topLinePunct w:val="0"/>
        <w:autoSpaceDE/>
        <w:autoSpaceDN/>
        <w:bidi w:val="0"/>
        <w:adjustRightInd/>
        <w:snapToGrid/>
        <w:ind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《洁净厂房设计规范》</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 50073-2013</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《酒厂设计防火规范》</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GB</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50694-2011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ind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（3）设计范围</w:t>
      </w:r>
    </w:p>
    <w:p>
      <w:pPr>
        <w:keepNext w:val="0"/>
        <w:keepLines w:val="0"/>
        <w:pageBreakBefore w:val="0"/>
        <w:widowControl w:val="0"/>
        <w:kinsoku/>
        <w:wordWrap/>
        <w:overflowPunct/>
        <w:topLinePunct w:val="0"/>
        <w:autoSpaceDE/>
        <w:autoSpaceDN/>
        <w:bidi w:val="0"/>
        <w:adjustRightInd/>
        <w:snapToGrid/>
        <w:ind w:firstLine="56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1）电力配电系统；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2）照明系统；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3）综合布线系统；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4）火灾自动报警及消防控制系统；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5）消防电源监控系统；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6）电气火灾监控系统。</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（4）配电系统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本工程负荷等级：</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依据《酒厂设计防火规范》，防排烟、消控室、消防应急照明等消防负荷为二级，其他照明、生产工艺及动力用电均为三级负荷，二级消防负荷主电源及三级负荷电源均引自室外原有箱变，二级消防负荷备用电源引自园区已有柴发机组，消防负荷采用双电源供电，生产工艺用动力预留利用原有100KW动力预留柜，进线电缆利用原有，应急照明备用电源由应急照明配电箱内集中蓄电池供给，信号反馈至消控室集中控制。本工程负荷容量计算见下表：（纯消防负荷不计入）。</w:t>
      </w:r>
    </w:p>
    <w:p>
      <w:pPr>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负荷容量计算表</w:t>
      </w:r>
    </w:p>
    <w:p>
      <w:pPr>
        <w:spacing w:line="240" w:lineRule="auto"/>
        <w:ind w:firstLine="0" w:firstLineChars="0"/>
        <w:rPr>
          <w:rFonts w:hint="eastAsia" w:eastAsia="仿宋"/>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表6-1</w:t>
      </w:r>
      <w:r>
        <w:rPr>
          <w:rFonts w:hint="eastAsia"/>
          <w:b/>
          <w:bCs/>
          <w:color w:val="000000" w:themeColor="text1"/>
          <w:sz w:val="21"/>
          <w:szCs w:val="21"/>
          <w:lang w:val="en-US" w:eastAsia="zh-CN"/>
          <w14:textFill>
            <w14:solidFill>
              <w14:schemeClr w14:val="tx1"/>
            </w14:solidFill>
          </w14:textFill>
        </w:rPr>
        <w:t>5</w:t>
      </w:r>
    </w:p>
    <w:tbl>
      <w:tblPr>
        <w:tblStyle w:val="40"/>
        <w:tblW w:w="499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3216"/>
        <w:gridCol w:w="1438"/>
        <w:gridCol w:w="1815"/>
        <w:gridCol w:w="211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36" w:type="pct"/>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序号</w:t>
            </w:r>
          </w:p>
        </w:tc>
        <w:tc>
          <w:tcPr>
            <w:tcW w:w="1396" w:type="pct"/>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项目名称</w:t>
            </w:r>
          </w:p>
        </w:tc>
        <w:tc>
          <w:tcPr>
            <w:tcW w:w="883" w:type="pct"/>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建筑面积</w:t>
            </w:r>
          </w:p>
        </w:tc>
        <w:tc>
          <w:tcPr>
            <w:tcW w:w="1062" w:type="pct"/>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功率密度</w:t>
            </w:r>
          </w:p>
        </w:tc>
        <w:tc>
          <w:tcPr>
            <w:tcW w:w="1221" w:type="pct"/>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功率pe（KW）</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p>
        </w:tc>
        <w:tc>
          <w:tcPr>
            <w:tcW w:w="139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车间照明+室外照明（三级）</w:t>
            </w:r>
          </w:p>
        </w:tc>
        <w:tc>
          <w:tcPr>
            <w:tcW w:w="883"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1248.14</w:t>
            </w:r>
          </w:p>
        </w:tc>
        <w:tc>
          <w:tcPr>
            <w:tcW w:w="1062"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15W/㎡</w:t>
            </w:r>
          </w:p>
        </w:tc>
        <w:tc>
          <w:tcPr>
            <w:tcW w:w="1221"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18.9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p>
        </w:tc>
        <w:tc>
          <w:tcPr>
            <w:tcW w:w="139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防排烟（纯消防）</w:t>
            </w:r>
          </w:p>
        </w:tc>
        <w:tc>
          <w:tcPr>
            <w:tcW w:w="883" w:type="pct"/>
            <w:noWrap/>
            <w:vAlign w:val="center"/>
          </w:tcPr>
          <w:p>
            <w:pPr>
              <w:spacing w:line="240" w:lineRule="auto"/>
              <w:ind w:firstLine="0" w:firstLineChars="0"/>
              <w:jc w:val="center"/>
              <w:rPr>
                <w:bCs/>
                <w:color w:val="000000" w:themeColor="text1"/>
                <w:sz w:val="24"/>
                <w14:textFill>
                  <w14:solidFill>
                    <w14:schemeClr w14:val="tx1"/>
                  </w14:solidFill>
                </w14:textFill>
              </w:rPr>
            </w:pPr>
          </w:p>
        </w:tc>
        <w:tc>
          <w:tcPr>
            <w:tcW w:w="1062" w:type="pct"/>
            <w:noWrap/>
            <w:vAlign w:val="center"/>
          </w:tcPr>
          <w:p>
            <w:pPr>
              <w:spacing w:line="240" w:lineRule="auto"/>
              <w:ind w:firstLine="0" w:firstLineChars="0"/>
              <w:jc w:val="center"/>
              <w:rPr>
                <w:bCs/>
                <w:color w:val="000000" w:themeColor="text1"/>
                <w:sz w:val="24"/>
                <w14:textFill>
                  <w14:solidFill>
                    <w14:schemeClr w14:val="tx1"/>
                  </w14:solidFill>
                </w14:textFill>
              </w:rPr>
            </w:pPr>
          </w:p>
        </w:tc>
        <w:tc>
          <w:tcPr>
            <w:tcW w:w="1221"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5.5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3</w:t>
            </w:r>
          </w:p>
        </w:tc>
        <w:tc>
          <w:tcPr>
            <w:tcW w:w="1396"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消控室（纯消防）</w:t>
            </w:r>
          </w:p>
        </w:tc>
        <w:tc>
          <w:tcPr>
            <w:tcW w:w="883" w:type="pct"/>
            <w:noWrap/>
            <w:vAlign w:val="center"/>
          </w:tcPr>
          <w:p>
            <w:pPr>
              <w:spacing w:line="240" w:lineRule="auto"/>
              <w:ind w:firstLine="0" w:firstLineChars="0"/>
              <w:jc w:val="center"/>
              <w:rPr>
                <w:bCs/>
                <w:color w:val="000000" w:themeColor="text1"/>
                <w:sz w:val="24"/>
                <w14:textFill>
                  <w14:solidFill>
                    <w14:schemeClr w14:val="tx1"/>
                  </w14:solidFill>
                </w14:textFill>
              </w:rPr>
            </w:pPr>
          </w:p>
        </w:tc>
        <w:tc>
          <w:tcPr>
            <w:tcW w:w="1062" w:type="pct"/>
            <w:noWrap/>
            <w:vAlign w:val="center"/>
          </w:tcPr>
          <w:p>
            <w:pPr>
              <w:spacing w:line="240" w:lineRule="auto"/>
              <w:ind w:firstLine="0" w:firstLineChars="0"/>
              <w:jc w:val="center"/>
              <w:rPr>
                <w:bCs/>
                <w:color w:val="000000" w:themeColor="text1"/>
                <w:sz w:val="24"/>
                <w14:textFill>
                  <w14:solidFill>
                    <w14:schemeClr w14:val="tx1"/>
                  </w14:solidFill>
                </w14:textFill>
              </w:rPr>
            </w:pPr>
          </w:p>
        </w:tc>
        <w:tc>
          <w:tcPr>
            <w:tcW w:w="1221" w:type="pct"/>
            <w:noWrap/>
            <w:vAlign w:val="center"/>
          </w:tcPr>
          <w:p>
            <w:pPr>
              <w:spacing w:line="240" w:lineRule="auto"/>
              <w:ind w:firstLine="0" w:firstLineChars="0"/>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33" w:type="pct"/>
            <w:gridSpan w:val="2"/>
            <w:noWrap/>
            <w:vAlign w:val="center"/>
          </w:tcPr>
          <w:p>
            <w:pPr>
              <w:spacing w:line="240" w:lineRule="auto"/>
              <w:ind w:firstLine="0" w:firstLineChars="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合计（纯消防不计入）</w:t>
            </w:r>
          </w:p>
        </w:tc>
        <w:tc>
          <w:tcPr>
            <w:tcW w:w="3166" w:type="pct"/>
            <w:gridSpan w:val="3"/>
            <w:noWrap/>
            <w:vAlign w:val="center"/>
          </w:tcPr>
          <w:p>
            <w:pPr>
              <w:spacing w:line="240" w:lineRule="auto"/>
              <w:ind w:firstLine="0" w:firstLineChars="0"/>
              <w:jc w:val="center"/>
              <w:rPr>
                <w:rFonts w:eastAsia="宋体"/>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18.9</w:t>
            </w:r>
          </w:p>
        </w:tc>
      </w:tr>
    </w:tbl>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原有照明用电负荷为20.4KW，本次照明用电负荷为18.9KW，故原有照明进线电缆可以二次利用，只是将原有照明配电箱更换后安装至原有照明配电箱位置，新增负荷均为纯消防负荷，对原有变压器负荷容量没有影响。</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二级负荷为11.5KW,原有柴发机组负荷剩余为30KW，故负荷剩余能够满足本次新增用电负荷需求，故二级负荷备用电源引自原有柴发机组。</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（5）配电设计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配电系统均采用放射式配电，二、三级负荷主电源由原有高低压配电室低压开关柜分配至单体建筑配电设备，二级负荷备用电源引自原有柴发机组配电柜备用出线回路，电缆出线采用直埋敷设，直埋深度为-0.8m，再由配电设备分配至用电设备。</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电源进线：本项目单体进线照明及动力均采用直埋进线，所有二、三级负荷主电源均引自原有高低压配电室低压配电柜备用回路，二级消防负荷采用双电源供电，备用电源引自原有柴发机组，消防设备配线采用NH线，电缆型号均为YJV22,进建筑物时穿钢管保护，室外电缆埋深冻土层以下。</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所有单体室内配电采用金属电缆桥架或暗敷至配电设备，室内配电线路采用BV或YJV型铜芯线配线，消防设备配线采用NH线，沿电缆桥架及建筑物的墙、顶板穿SC管暗敷。照明配电采用BV型导线，采用暗管敷设至配电点。室内照明分支线采用BV-500，2.5mm铜芯线穿SC管暗敷，室内插座回路均采用BV-500，3×4mm铜芯线穿SC管暗敷。</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洁净室内的电气管线宜暗敷，穿线导管应采用不燃材料。洁净区的电气管线管口及安装于墙上的各种电器设备与墙体接缝处应有可靠的密封措施。</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消控室、防排烟风机房等用电负荷采用双电源供电并在末端切换。</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配电设备：配电箱为暗装，安装高度为距地1.80m，所有配电箱选用带暗锁的铁制箱体。插座及开关为暗装，安装高度分别0.30m，1.40m。</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（6）照明系统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照明种类：一般照明及应急照明。</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照度标准：照明标准按国家标准设计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化验室、发酵间、灌装间、糖化间、消控室等照度值为300Lx，功率密度值不大于9W/㎡；走道、排烟机房、空压间、水处理间、辅料仓库、麦芽仓库、包材仓库等照度值为100lx，功率密度值不大于4W/㎡；卫生间照度值为75Lx，功率密度值不大于3.5W/㎡。</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本建筑在走道、主要出入口、楼梯间设置疏散指示灯及安全出口标志灯，备用照明其照度值大于3.0Lx，排烟机房、消控室等消防设备用房备用照明为正常照度值，走道、主要出入口照度值大于1.0Lx，楼梯间照度值大于5Lx。</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应急照明（应急照明配电箱及灯具防护等级不低于IP65，应急照明采用集中型应急照明控制系统）。疏散照明应在消防控制室集中手动、自动控制，不得利用切断消防电源的方式直接强制启动疏散照明灯。应急照明灯具的光源选用瞬时点亮光源，安全出口标志灯、疏散指示灯采用LED灯,光源显色指数Ra≥80，色温应在2800~4500K之间。发生火灾仍需正常工作的消防设备房应设置备用照明。其工作面的最低照度不应低于正常照明的照度。疏散路径地面水平最低照度：水平疏散通道不应低于1.0Lx；人员密集场所不应低于3.0Lx；楼梯间、消防电梯的前室或合用前室不应低于5.0Lx。人员密集场所的楼梯间、前室或合用前室疏散照明的地面最低水平照度不低于10.0Lx。火灾时仍需工作、值守的区域不应低于1.0Lx。系统应急启动后，消防应急照明疏散集中电源蓄电池持续供电时间应满足火灾状态下不超过30分钟和非火灾状态下不少于30分钟叠加使用的要求，故消防应急照明蓄电池持续供电时间不应小于45分钟。集中电源的蓄电池组和灯具自带蓄电池达到使用寿命周期后标称的剩余容量应保证放电时间满足其规定的持续工作时间。火灾状态下，灯具光源应急点亮、熄灭的响应时间不应大于5s。消防应急照明灯具选用节能光源的灯具，光源色温不应低于2700K。本工程选用A型消防应急灯具，其主电源和蓄电池电源额定工作电压均不大于DC36V。有吊顶的场所，嵌入式安装。无吊顶场所选用控照式，链吊（管吊）式安装。安装高度详见图例。出口标志灯在门上方安装时，底边距门框0.2m；若门上无法安装时，在门旁墙上安装，顶距吊顶50mm；疏散指向标志，底边距地0.3m。应急照明灯、出口标志灯、疏散指向标志灯等应设玻璃或其他不燃材料制作的保护罩。消防应急灯具和疏散指示系统应符合《消防应急照明和疏散指示系统》（GB 17945）及《消防应急照明和疏散指示系统技术标准》（GB 51309）相关要求。应急照明平时采用就地控制，火灾时由消防控制室内设置的应急照明控制器集中控制点亮。应急照明灯具保护罩不宜采用玻璃材料。</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4）光源及灯具选择</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光源一般照明以荧光灯为主，卫生间、净化间、水处理间等有水房间均选用防水防潮灯，灌装间、发酵间等层高较高的房间选用低压钠灯，所选用的荧光灯均为T8节能灯管并配以高效节能型镇流器，楼梯间选用带声光控延时开关的灯具。</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洁净厂房区内一般照明灯具应为吸顶明装。当灯具嵌入顶棚暗装时，安装缝隙应有可靠的密封措施。洁净室应采用洁净室专用灯具。开关、插座和照明灯具靠近可燃物时，应采取隔热、散热等防火措施。卤钨灯和额定功率不小于100W的白炽灯泡的吸顶灯、槽灯、嵌入式灯，其引入线应采用瓷管、矿棉等不燃材料作隔热保护。额定功率不小于60W的白炽灯、卤钨灯、高压钠灯、金属卤化物灯、荧光高压汞灯（包括电感镇流器）等，不应直接安装在可燃物体上或采取其他防火措施。</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备用照明及疏散灯均采用消防集中电源供电，集中电源内蓄电池应急时间不小于45分钟，消防设备用房内蓄电池应急时间不小于180分钟。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5）室外照明</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本工程仅为单体改造工程，室外照明利用原有。</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（7）综合布线系统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本工程综合布线箱利用原有，网络室内分支线采用超五类八芯电缆，电话室内分支线为RVB-2×0.5型。</w:t>
      </w:r>
    </w:p>
    <w:p>
      <w:pPr>
        <w:ind w:firstLine="56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洁净厂房内应设置与厂房内、外联系的通信装置。洁净厂房内生产区与其他工段的联系宜设生产对讲电话。</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洁净厂房宜设置净化空调系统等的自动监控装置。洁净室净化空调系统宜选用变频调速控制的风机。净化空调系统的电加热器应设置无风、超温断电保护装置。当采用电加湿器时，应设置无水保护装置。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所有弱电线路室内线路通过电缆桥架和沿墙、楼板穿PVC管暗敷。</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（8）防雷接地系统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本项目为改造项目，防雷接地系统保持原有系统不变，原有防雷为二类防雷系统，满足规范要求。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接地装置：接地系统利用原有接地系统，本楼接地与大楼其它接地系统共用接地网，接地电阻要求不大于1欧。达不到接地电阻要求时，应增打人工接地装置。人工接地装置：水平接地体采用-40X4镀锌扁钢，垂直接地体采用50X50X5L=2.5M镀锌角钢，垂直接地体间距5m。金属储罐必须设防雷接地，其接地点不应少于两处，接地点沿储罐周长的间距不宜大于30m。当储罐顶装有避雷针或利用罐体作接闪器时，防雷接地装置冲击接地电阻不宜大于10Ω。装阻火器的地上固定顶储罐应装设避雷针（线），避雷针（线）的保护范围，应包括整个储罐。当储罐顶板厚度大于或等于4mm时，可利用罐体作接闪器。浮顶储罐可不装设避雷针（线），但应将浮顶与罐体用两根截面不小于25m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的软铜复绞线做电气连接。金属储罐上的信息装置，其金属外壳应与罐体做电气连接，配线电缆宜采用铠装屏蔽电缆，电缆外皮及所穿钢管应与罐体做电气连接。铠装电缆的埋地长度不应小于15m。金属储罐、酒泵、过滤机、输酒管道、真空灌装机和本规范第8.0.5条规定的通风管道及设备等应作防静电接地。白酒库、人工洞白酒库、食用酒精库、白酒储罐区、食用酒精储罐区、白兰地陈酿库的收酒区，应设置与酒罐车和酒桶跨接的防静电接地装置，其出入口处宜设置防静电接地装置。每组专设的防静电接地装置的接地电阻不宜大于100Ω。地上和管沟敷设的输酒管道的下列部位应设置防静电和防感应雷的接地装置： 始端、末端、分支处以及直线段每隔200m～300m处；爆炸危险场所的边界；管道泵、过滤器、缓冲器等金属储罐的防雷接地装置可兼作防静电接地装置。地上和管沟敷设的输酒管道的防静电接地装置可与防感应雷的接地装置合用，接地电阻不宜大于30Ω，接地点宜设在固定管墩（架）处。酒库、储罐区的防雷接地、防静电接地、电气设备的工作接地、保护接地及信息系统的接地等，宜共用接地装置，其接地电阻应按接入设备中要求的最小值确定 所有防雷装置的各种金属构件必须热镀锌（浇灌在混凝土内的除外），焊接处应做防腐处理。</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（9）火灾自动报警系统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工程设有防排烟系统，故在改造车间内设火灾自动报警系统，系统采用集中报警系统。火灾自动报警系统包括火灾自动报警系统、消防联动控制系统、火灾应急广播系统、消防直通对讲电话、手动控制盘等系统组成。</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1）火灾自动报警系统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消防控制室设备设在一层消防控制室内，其入口处设置明显的标志，消防控制室内设有火灾报警控制器、手动控制盘、应急广播设备，中央电脑，消防专用电话总机等。消防控制室内设有直接报警的外线电话。</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系统采用总线制，火灾报警控制器（联动型）所控制的各类模块总数不大于1600点，每条总线回路连接设备的总数不大于200点（其中联动不超过100点，且应留有不少于额定容量10%的余量）。消防联动总线（联动型报警总线）及电源总线上设置总线短路隔离器，每只总线短路隔离器保护的消防设备总数不超过32点，总线穿越防火分区时，应在穿越处设置总线短路隔离器；总线短路隔离器采用树形结构连接。</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各场所设置感烟探测器（部分房间设有感温探测器），探测器与灯具的水平净距应大于0.20m；与嵌入式扬声器的净距应大于0.30m；与自动喷水头的净距应大于0.30m；与墙或其他遮挡物的距离应大于0.50m；当倾斜安装时,倾斜角不应大于45°。探测器的具体定位以结构梁布置图（或建筑吊顶综合图）为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在本楼适当位置设带消防电话插孔的手动报警按钮，手动报警按钮底边距地1.40m。</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在消火栓箱内设消火栓按钮，接线盒设在消火栓的开门侧，底距地1.8m。</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在每个防火分区设手动火灾报警按钮及火灾声光警报器；火灾时火灾自动报警系统同时启动和停止所有火灾声光报警器，火灾声光报警器的声压级不小于60dB。</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消防联动控制器应能按设定的控制逻辑向各相关的受控设备发出联动控制信号，并接受相关设备的联动反馈信号。</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各受控设备接口的特性参数应与消防联动控制器发出的联动控制信号相匹配。</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防烟和排烟风机的控制设备，除应采用联动控制方式外，还应在消控室设置手动直接控制装置。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需要火灾自动报警系统联动控制的消防设备，其联动触发信号应采用两个独立的报警触发装置报警信号的与逻辑组合。</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2）消防联动控制设计</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①</w:t>
      </w:r>
      <w:r>
        <w:rPr>
          <w:rFonts w:hint="eastAsia"/>
          <w:color w:val="000000" w:themeColor="text1"/>
          <w14:textFill>
            <w14:solidFill>
              <w14:schemeClr w14:val="tx1"/>
            </w14:solidFill>
          </w14:textFill>
        </w:rPr>
        <w:t>火灾警报和消防应急广播系统控制：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火灾声光警报器的声压级不应小于60dB，在环境噪声大于60dB的场所，其声压级应高于背景噪声15dB；在环境噪声大于60dB的场所设置的扬声器，在其播放范围内最远点的播放声压级应高于背景噪声15dB。</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当确认火灾后，应启动建筑内的所有火灾声光警报器；火灾声光警报器应由火灾警报控制器或消防联动控制器控制；火灾声光警报器应具有同一种火灾变调声；火灾自动报警系统应能同时启停所有火灾声光警报器工作。</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应急广播系统的联动控制信号应由消防联动控制器发出；当确认火灾后，应同时向全楼进行广播；在消防控制室应能手动或按预设控制逻辑联动控制选择广播分区、启动或停止应急广播系统，并应能监听消防应急广播；在通过传声器进行应急广播时，应自动对广播内容进行录音；消防控制室内应能显示消防应急广播的广播分区的工作状态。</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火灾声警报器单次发出火灾警报时间为8s-20s，消防应急广播的单次语音播放时间为10s-30s，火灾声警报应与消防应急广播交替循环播放，可采取1次火灾声警报器播放、1次或2次消防应急广播播放的交替工作方式循环播放。</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当普通广播与消防应急广播合用时，火灾时应具有强制切入消防应急广播的功能。</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消防广播应使用阻燃材料或使用具有阻燃后罩结构的广播。</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②</w:t>
      </w:r>
      <w:r>
        <w:rPr>
          <w:rFonts w:hint="eastAsia"/>
          <w:color w:val="000000" w:themeColor="text1"/>
          <w14:textFill>
            <w14:solidFill>
              <w14:schemeClr w14:val="tx1"/>
            </w14:solidFill>
          </w14:textFill>
        </w:rPr>
        <w:t>消防应急照明和疏散指示系统控制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系统采用集中电源控制型应急照明和疏散指示系统，应由消防联动控制器联动消防应急照明配电箱实现。当确认火灾后，由发生火灾的报警区域开始，顺序启动全楼疏散通道的消防应急照明和疏散指示系统，系统全部投入应急状态的启动时间不应大于5s。</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③</w:t>
      </w:r>
      <w:r>
        <w:rPr>
          <w:rFonts w:hint="eastAsia"/>
          <w:color w:val="000000" w:themeColor="text1"/>
          <w14:textFill>
            <w14:solidFill>
              <w14:schemeClr w14:val="tx1"/>
            </w14:solidFill>
          </w14:textFill>
        </w:rPr>
        <w:t>应急照明控制器的设计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应急照明控制器设置于消防控制室内，应具有能接收火灾报警控制器或消防联动控制器信号的产品。应急照明控制器应由消防电源供电；控制器的自带蓄电池电源应至少使控制器在主电源中断后工作3h。任一台应急照明控制器直接控制灯具的总数量不应大于3200。应能接收、显示、保持火灾报警控制器的火灾报警输出信号。具有两种以上疏散指示方案场所中设置的应急照明控制器还应能接收、显示、保持消防联动控制器发出的火灾报警区域信号或联动控制信号。应能按预设逻辑自动、手动控制系统的应急启动。应能接收、显示、保持其配接的灯具、集中电源或应。系统线路的选择：系统的配电线路和系统的通信线路应选择阻燃耐火型铜芯导线或电缆。集中电源或应急照明配电箱应按灯具配电回路设置急照明配电箱的工作状态信息。系统的控制：系统设置多台应急照明控制器时，应设置一台起其中控制功能的应急照明控制器。应急照明个控制器应通过集中电源或应急照灯具通信回路，且灯具配电回路和灯具通信回路配接的灯具应一致。明配电箱连接灯具，并控制灯具的应急启动、蓄电池电源的转换。集中电源或应急照明配电箱与灯具的通信中断，应急照明控制器与集中电源或应急照明配电箱的通信中断时，非持续型灯具应应急点亮、持续型灯具应由节电点亮模式转入应急点亮模式。非火灾状态下的系统控制：系统正常工作模式下，应保持主电源为灯具供电。系统正常工作模式下，系统内所有非持续型灯具应保持熄灭状态，持续性灯具应保持节电点亮模式。系统主电源断电后，非持续型照明灯应急点亮、持续型灯具由节电点亮模式转入应急点亮模式；灯具持续应急点亮时间应符合设计规定，且不超过0.5h。系统主电源恢复后，系统中的灯具恢复原工作状态；灯具持续点亮时间达到设计规定的时间，且系统主电源仍未恢复供电时，集中电源或应急照明配电箱应连锁其配接灯具的光源熄灭。</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④</w:t>
      </w:r>
      <w:r>
        <w:rPr>
          <w:rFonts w:hint="eastAsia"/>
          <w:color w:val="000000" w:themeColor="text1"/>
          <w14:textFill>
            <w14:solidFill>
              <w14:schemeClr w14:val="tx1"/>
            </w14:solidFill>
          </w14:textFill>
        </w:rPr>
        <w:t>防排烟系统的联动控制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排烟风机、补风机的控制方式应符合下列规定：现场手动启动;2火灾自动报警系统自动启动;消防控制室手动启动;系统中任一排烟阀或排烟口开启时，排烟风机、补风机自动启动;排烟防火阀在280℃时应自行关闭，并应连锁关闭排烟风机和补风机。机械排烟系统中的常闭排烟阀或排烟口应具有火灾自动报警系统自动开启、消防控制室手动开启和现场手动开启功能，其开启信号应与排烟风机联动。当火灾确认后，火灾自动报警系统应在15s内联动开启相应防烟分区的全部排烟阀、排烟口、排烟风机和补风设施，并应在30s内自动关闭与排烟无关的通风、空调系统。当火灾确认后，担负两个及以上防烟分区的排烟系统，应仅打开着火防烟分区的排烟阀或排烟口，其他防烟分区的排烟阀或排烟口应呈关闭状态。活动挡烟垂壁应具有火灾自动报警系统自动启动和现场手动启动功能，当火灾确认后，火灾自动报警系统应在15s内联动相应防烟分区的全部活动挡烟垂壁，60s以内挡烟垂壁应开启到位。自动排烟窗可采用与火灾自动报警系统联动和温度释放装置联动的控制方式。当采用与火灾自动报警系统自动启动时，自动排烟窗应在60s内或小于烟气充满储烟仓时间内开启完毕。带有温控功能自动排烟窗，其温控释放温度应大于环境温度30℃且小于100℃。消防控制设备应显示排烟系统的排烟风机、补风机、阀门等设施启闭状态。</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⑤</w:t>
      </w:r>
      <w:r>
        <w:rPr>
          <w:rFonts w:hint="eastAsia"/>
          <w:color w:val="000000" w:themeColor="text1"/>
          <w14:textFill>
            <w14:solidFill>
              <w14:schemeClr w14:val="tx1"/>
            </w14:solidFill>
          </w14:textFill>
        </w:rPr>
        <w:t>消火栓系统的联动控制：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由消火栓系统出水干线上设置的低压压力开关作为触发信号，直接控制启动消火栓泵。将消火栓泵的控制箱启动、停止按钮用专用线路直接连至消防控制器的手动控制盘，直接手动控制消火栓泵的启动、停止。</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⑥</w:t>
      </w:r>
      <w:r>
        <w:rPr>
          <w:rFonts w:hint="eastAsia"/>
          <w:color w:val="000000" w:themeColor="text1"/>
          <w14:textFill>
            <w14:solidFill>
              <w14:schemeClr w14:val="tx1"/>
            </w14:solidFill>
          </w14:textFill>
        </w:rPr>
        <w:t>非消防电源</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火灾时消防联动控制器应切断火灾区域及相关区域的非消防电源，强制点亮应急照明灯。</w:t>
      </w:r>
    </w:p>
    <w:p>
      <w:pPr>
        <w:ind w:firstLine="560"/>
        <w:rPr>
          <w:color w:val="000000" w:themeColor="text1"/>
          <w14:textFill>
            <w14:solidFill>
              <w14:schemeClr w14:val="tx1"/>
            </w14:solidFill>
          </w14:textFill>
        </w:rPr>
      </w:pPr>
      <w:r>
        <w:rPr>
          <w:rFonts w:hint="eastAsia"/>
          <w:color w:val="000000" w:themeColor="text1"/>
          <w:szCs w:val="24"/>
          <w:lang w:val="zh-CN"/>
          <w14:textFill>
            <w14:solidFill>
              <w14:schemeClr w14:val="tx1"/>
            </w14:solidFill>
          </w14:textFill>
        </w:rPr>
        <w:t>⑦</w:t>
      </w:r>
      <w:r>
        <w:rPr>
          <w:rFonts w:hint="eastAsia"/>
          <w:color w:val="000000" w:themeColor="text1"/>
          <w14:textFill>
            <w14:solidFill>
              <w14:schemeClr w14:val="tx1"/>
            </w14:solidFill>
          </w14:textFill>
        </w:rPr>
        <w:t>相关联动控制</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消防联动控制器在火灾确认后应切断火灾区域及相关区域的非消防电源，且应在消防系统动作前切断正常照明。</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消防联动控制器应具有自动打开涉及疏散的电动栅杆等的功能，应开启视频监控系统摄像机以监视火灾现场。</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3）消防专用电话系统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消防专用电话网络为独立的消防通信系统。系统采用总线制，消防控制室设置消防专用电话总机。</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除在手动报警按钮上设置消防电话插孔外，本建筑在水箱间还设有消防专用电话分机；电话分机应有区别于普通电话的标识，底距地1.4m明装。</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消防控制室设置可直接报警的外线电话。</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4）模块的设置</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模块严禁设置在配电（控制）柜（箱）内。</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本报警区域内的模块不应控制其他报警区域的设备。</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本建筑模块在设备附近就地设置，模块附近应有尺寸不小于100mm×100mm的标识。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5）系统供电</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控制室设有双电源切换配电箱，作为主电源供整个系统使用。图形显示装置、消防通信设备配备UPS作为备用电源，此电源设备由设备承包商负责提供；其他设备如火灾报警控制器、消防联动控制器、应急照明控制器等由设备自带的蓄电池作为备用电源。</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消防设备应急电源输出功率应大于火灾自动报警及联动控制系统全负荷功率的120%，蓄电池组的容量应保证火灾自动报警及联动控制系统在火灾状态同时工作负荷条件下连续工作3h以上。</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消防用电设备应采用专用的供电回路，其配电设备应设有明显标志。其配电线路和控制回路宜按防火分区划分。</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6）系统接地</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系统接地利用大楼综合接地装置作为其接地极，要求综合接地电阻不大于1Ω；消防控制室内的电气和电子设备的金属外壳、机柜、机架和金属管、槽等采用等电位连接，消防控制室内设专用接地板；由接地板引至各消防电子设备的专用接地线均选用铜芯BV-1×4-PC20；接地板与建筑接地体之间采用铜芯BV-1×35-PC32连接。</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7）消防系统线路的选型及敷设方式</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系统线路的选型详见系统图附表，所有线路均为500V阻燃耐火铜芯电线电缆，消防配电线路燃烧性能不应低于B1级。</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竖向电缆明敷在电井内，采用耐火钢制线槽保护；水平线缆穿热镀锌钢管SC暗敷在墙、地面及现浇楼板内，且保护层厚度不小于30mm。线路敷设在线槽上时，线槽内设隔板，将手动（联锁）控制线、消防广播线、消防电话线分别隔开；暗敷时，手动（联锁）控制线、消防广播线、消防电话线均应单独穿管，消防联动总线与消防电源线可共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从接线盒、线槽等处引到探测器底座盒、控制设备盒、扬声器箱的线路，均应加金属保护管保护。</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8）其他</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火灾自动报警系统的每个回路地址编码总数预留15%-20%的余量。</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系统的成套设备由承包商成套供货，并负责安装、调试。</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9）本工程设电气火灾监控系统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本系统采用HS-S1000系列电气火灾监控系统，在主要干线处设置保护，总线采用RVVSP2×1.0屏蔽双绞线，系统满足如下功能，探测漏电电流、四项线缆温度、电流、电压信号。故障时只报警不跳闸，漏电报警值设定为：低级500hA，第二级为300hA。</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（10）消防电源监控系统</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消防电源监测系统，由消防电源监测监控器，电压信号传感装置组成。本工程在消防设备配电箱、控制箱进线电源处设置消防电源监测装置。消防电源监测器设置在消防控制室内，消防电源监测器的报警信息和故障信息在消防控制室图形显示装置上显示，但该类信息与火灾报警信息的显示有区别，同时将报警信号送至配变电所显示。消防电源监测器的设备不影响供电系统的正常工作，不切断供电电源。消防电源监测器可发出声光报警信号，报出故障位置，监视故障点变化。本系统从消防控制室至各配电箱及控制箱之间的通信线路，预留管线SC20热镀锌钢管。</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（11）机电工程抗震设计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1）火灾应急广播系统应预置地震广播模式。</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2）壁式安装的箱体与墙壁之间应采用金属膨胀螺栓连接。</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3）在线槽内敷设的缆线在引进、引出和转弯处，应在长度上留有余量。</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4）接地线应采取防止地震时被切断的措施。</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5）进户线缆保护套管应采用挠性管。</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6）线缆保护管的直线段部分每隔30m应设置伸缩节。</w:t>
      </w:r>
    </w:p>
    <w:p>
      <w:pPr>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7）配电装置至用电设备间连线当采用穿管或线槽敷设时，进口处应转为挠性线管过度。</w:t>
      </w:r>
    </w:p>
    <w:p>
      <w:pPr>
        <w:pStyle w:val="5"/>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（12）主要设备材料</w:t>
      </w:r>
    </w:p>
    <w:p>
      <w:pPr>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主要工程量</w:t>
      </w:r>
    </w:p>
    <w:p>
      <w:pPr>
        <w:spacing w:line="240" w:lineRule="auto"/>
        <w:ind w:firstLine="0" w:firstLineChars="0"/>
        <w:rPr>
          <w:rFonts w:hint="eastAsia" w:eastAsia="仿宋"/>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表6-1</w:t>
      </w:r>
      <w:r>
        <w:rPr>
          <w:rFonts w:hint="eastAsia"/>
          <w:b/>
          <w:bCs/>
          <w:color w:val="000000" w:themeColor="text1"/>
          <w:sz w:val="21"/>
          <w:szCs w:val="21"/>
          <w:lang w:val="en-US" w:eastAsia="zh-CN"/>
          <w14:textFill>
            <w14:solidFill>
              <w14:schemeClr w14:val="tx1"/>
            </w14:solidFill>
          </w14:textFill>
        </w:rPr>
        <w:t>6</w:t>
      </w:r>
    </w:p>
    <w:tbl>
      <w:tblPr>
        <w:tblStyle w:val="40"/>
        <w:tblW w:w="4995"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2536"/>
        <w:gridCol w:w="3641"/>
        <w:gridCol w:w="917"/>
        <w:gridCol w:w="125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503" w:type="pct"/>
            <w:noWrap/>
            <w:vAlign w:val="center"/>
          </w:tcPr>
          <w:p>
            <w:pPr>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序号</w:t>
            </w:r>
          </w:p>
        </w:tc>
        <w:tc>
          <w:tcPr>
            <w:tcW w:w="1366" w:type="pct"/>
            <w:noWrap/>
            <w:vAlign w:val="center"/>
          </w:tcPr>
          <w:p>
            <w:pPr>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名称</w:t>
            </w:r>
          </w:p>
        </w:tc>
        <w:tc>
          <w:tcPr>
            <w:tcW w:w="1961" w:type="pct"/>
            <w:noWrap/>
            <w:vAlign w:val="center"/>
          </w:tcPr>
          <w:p>
            <w:pPr>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规格型号</w:t>
            </w:r>
          </w:p>
        </w:tc>
        <w:tc>
          <w:tcPr>
            <w:tcW w:w="494" w:type="pct"/>
            <w:noWrap/>
            <w:vAlign w:val="center"/>
          </w:tcPr>
          <w:p>
            <w:pPr>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单位</w:t>
            </w:r>
          </w:p>
        </w:tc>
        <w:tc>
          <w:tcPr>
            <w:tcW w:w="674" w:type="pct"/>
            <w:noWrap/>
            <w:vAlign w:val="center"/>
          </w:tcPr>
          <w:p>
            <w:pPr>
              <w:spacing w:line="240" w:lineRule="auto"/>
              <w:ind w:firstLine="0" w:firstLineChars="0"/>
              <w:jc w:val="cente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数量</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503"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p>
        </w:tc>
        <w:tc>
          <w:tcPr>
            <w:tcW w:w="1366"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低压电缆</w:t>
            </w:r>
          </w:p>
        </w:tc>
        <w:tc>
          <w:tcPr>
            <w:tcW w:w="1961"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NHYJV22-1KV-4×10</w:t>
            </w:r>
          </w:p>
        </w:tc>
        <w:tc>
          <w:tcPr>
            <w:tcW w:w="49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m</w:t>
            </w:r>
          </w:p>
        </w:tc>
        <w:tc>
          <w:tcPr>
            <w:tcW w:w="67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503"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p>
        </w:tc>
        <w:tc>
          <w:tcPr>
            <w:tcW w:w="1366"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双电源切换箱</w:t>
            </w:r>
          </w:p>
        </w:tc>
        <w:tc>
          <w:tcPr>
            <w:tcW w:w="1961"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JXQ2</w:t>
            </w:r>
          </w:p>
        </w:tc>
        <w:tc>
          <w:tcPr>
            <w:tcW w:w="49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台</w:t>
            </w:r>
          </w:p>
        </w:tc>
        <w:tc>
          <w:tcPr>
            <w:tcW w:w="67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503"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p>
        </w:tc>
        <w:tc>
          <w:tcPr>
            <w:tcW w:w="1366"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火灾报警及联动设备</w:t>
            </w:r>
          </w:p>
        </w:tc>
        <w:tc>
          <w:tcPr>
            <w:tcW w:w="1961"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p>
        </w:tc>
        <w:tc>
          <w:tcPr>
            <w:tcW w:w="49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套</w:t>
            </w:r>
          </w:p>
        </w:tc>
        <w:tc>
          <w:tcPr>
            <w:tcW w:w="67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503"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4</w:t>
            </w:r>
          </w:p>
        </w:tc>
        <w:tc>
          <w:tcPr>
            <w:tcW w:w="1366"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三通人孔井</w:t>
            </w:r>
          </w:p>
        </w:tc>
        <w:tc>
          <w:tcPr>
            <w:tcW w:w="1961"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钢筋混凝土2600×2100×2900</w:t>
            </w:r>
          </w:p>
        </w:tc>
        <w:tc>
          <w:tcPr>
            <w:tcW w:w="49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座</w:t>
            </w:r>
          </w:p>
        </w:tc>
        <w:tc>
          <w:tcPr>
            <w:tcW w:w="674" w:type="pct"/>
            <w:noWrap/>
            <w:vAlign w:val="center"/>
          </w:tcPr>
          <w:p>
            <w:pPr>
              <w:spacing w:line="240" w:lineRule="auto"/>
              <w:ind w:firstLine="0" w:firstLineChars="0"/>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p>
        </w:tc>
      </w:tr>
    </w:tbl>
    <w:p>
      <w:pPr>
        <w:ind w:firstLine="482"/>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注：各单体详细材料表如插座开关等详见施工图深化设计，所有插座均选用安全型。</w:t>
      </w:r>
    </w:p>
    <w:p>
      <w:pPr>
        <w:pStyle w:val="2"/>
        <w:bidi w:val="0"/>
        <w:rPr>
          <w:color w:val="000000" w:themeColor="text1"/>
          <w:highlight w:val="none"/>
          <w14:textFill>
            <w14:solidFill>
              <w14:schemeClr w14:val="tx1"/>
            </w14:solidFill>
          </w14:textFill>
        </w:rPr>
      </w:pPr>
      <w:bookmarkStart w:id="154" w:name="_Toc5160"/>
      <w:r>
        <w:rPr>
          <w:rFonts w:hint="eastAsia"/>
          <w:color w:val="000000" w:themeColor="text1"/>
          <w:highlight w:val="none"/>
          <w14:textFill>
            <w14:solidFill>
              <w14:schemeClr w14:val="tx1"/>
            </w14:solidFill>
          </w14:textFill>
        </w:rPr>
        <w:t xml:space="preserve">第7章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主要原辅材料、燃料供应</w:t>
      </w:r>
      <w:bookmarkEnd w:id="154"/>
    </w:p>
    <w:p>
      <w:pPr>
        <w:pStyle w:val="3"/>
        <w:bidi w:val="0"/>
        <w:rPr>
          <w:color w:val="000000" w:themeColor="text1"/>
          <w14:textFill>
            <w14:solidFill>
              <w14:schemeClr w14:val="tx1"/>
            </w14:solidFill>
          </w14:textFill>
        </w:rPr>
      </w:pPr>
      <w:bookmarkStart w:id="155" w:name="_Toc435196591"/>
      <w:bookmarkStart w:id="156" w:name="_Toc30110"/>
      <w:r>
        <w:rPr>
          <w:rFonts w:hint="eastAsia"/>
          <w:color w:val="000000" w:themeColor="text1"/>
          <w14:textFill>
            <w14:solidFill>
              <w14:schemeClr w14:val="tx1"/>
            </w14:solidFill>
          </w14:textFill>
        </w:rPr>
        <w:t>7.1主要原材料供应</w:t>
      </w:r>
      <w:bookmarkEnd w:id="155"/>
      <w:bookmarkEnd w:id="156"/>
    </w:p>
    <w:p>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7.1.1原辅材料供应</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hint="eastAsia" w:ascii="仿宋_GB2312" w:eastAsia="仿宋_GB2312"/>
          <w:bCs/>
          <w:color w:val="000000" w:themeColor="text1"/>
          <w:kern w:val="44"/>
          <w:szCs w:val="28"/>
          <w:highlight w:val="none"/>
          <w14:textFill>
            <w14:solidFill>
              <w14:schemeClr w14:val="tx1"/>
            </w14:solidFill>
          </w14:textFill>
        </w:rPr>
        <w:t>项目年生产黑青稞</w:t>
      </w:r>
      <w:r>
        <w:rPr>
          <w:rFonts w:hint="eastAsia" w:ascii="仿宋_GB2312" w:eastAsia="仿宋_GB2312"/>
          <w:bCs/>
          <w:color w:val="000000" w:themeColor="text1"/>
          <w:kern w:val="44"/>
          <w:szCs w:val="28"/>
          <w:highlight w:val="none"/>
          <w:lang w:eastAsia="zh-CN"/>
          <w14:textFill>
            <w14:solidFill>
              <w14:schemeClr w14:val="tx1"/>
            </w14:solidFill>
          </w14:textFill>
        </w:rPr>
        <w:t>啤酒</w:t>
      </w:r>
      <w:r>
        <w:rPr>
          <w:rFonts w:hint="eastAsia" w:ascii="仿宋_GB2312" w:eastAsia="仿宋_GB2312"/>
          <w:bCs/>
          <w:color w:val="000000" w:themeColor="text1"/>
          <w:kern w:val="44"/>
          <w:szCs w:val="28"/>
          <w:highlight w:val="none"/>
          <w:lang w:val="en-US" w:eastAsia="zh-CN"/>
          <w14:textFill>
            <w14:solidFill>
              <w14:schemeClr w14:val="tx1"/>
            </w14:solidFill>
          </w14:textFill>
        </w:rPr>
        <w:t>5000t</w:t>
      </w:r>
      <w:r>
        <w:rPr>
          <w:rFonts w:hint="eastAsia" w:ascii="仿宋_GB2312" w:eastAsia="仿宋_GB2312"/>
          <w:bCs/>
          <w:color w:val="000000" w:themeColor="text1"/>
          <w:kern w:val="44"/>
          <w:szCs w:val="28"/>
          <w:highlight w:val="none"/>
          <w14:textFill>
            <w14:solidFill>
              <w14:schemeClr w14:val="tx1"/>
            </w14:solidFill>
          </w14:textFill>
        </w:rPr>
        <w:t>，所用主要材料</w:t>
      </w:r>
      <w:r>
        <w:rPr>
          <w:rFonts w:hint="eastAsia" w:ascii="仿宋_GB2312" w:eastAsia="仿宋_GB2312"/>
          <w:bCs/>
          <w:color w:val="000000" w:themeColor="text1"/>
          <w:kern w:val="44"/>
          <w:szCs w:val="28"/>
          <w:highlight w:val="none"/>
          <w:lang w:val="en-US" w:eastAsia="zh-CN"/>
          <w14:textFill>
            <w14:solidFill>
              <w14:schemeClr w14:val="tx1"/>
            </w14:solidFill>
          </w14:textFill>
        </w:rPr>
        <w:t>为麦芽（浅色大麦芽、结晶麦芽、小麦麦芽、结晶麦芽、黑麦芽、红麦芽、深焦麦芽）、黑青稞麦芽、</w:t>
      </w:r>
      <w:r>
        <w:rPr>
          <w:rFonts w:hint="eastAsia" w:ascii="仿宋_GB2312" w:eastAsia="仿宋_GB2312"/>
          <w:bCs/>
          <w:color w:val="000000" w:themeColor="text1"/>
          <w:kern w:val="44"/>
          <w:szCs w:val="28"/>
          <w:highlight w:val="none"/>
          <w14:textFill>
            <w14:solidFill>
              <w14:schemeClr w14:val="tx1"/>
            </w14:solidFill>
          </w14:textFill>
        </w:rPr>
        <w:t>包装材料等。</w:t>
      </w:r>
      <w:r>
        <w:rPr>
          <w:rFonts w:eastAsia="仿宋"/>
          <w:color w:val="000000" w:themeColor="text1"/>
          <w:sz w:val="28"/>
          <w:szCs w:val="28"/>
          <w:lang w:val="zh-CN"/>
          <w14:textFill>
            <w14:solidFill>
              <w14:schemeClr w14:val="tx1"/>
            </w14:solidFill>
          </w14:textFill>
        </w:rPr>
        <w:t>主要原辅材料消耗量及供应方案详见下表：</w:t>
      </w:r>
    </w:p>
    <w:p>
      <w:pPr>
        <w:jc w:val="center"/>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年原辅料消耗量明细表</w:t>
      </w:r>
    </w:p>
    <w:p>
      <w:pPr>
        <w:spacing w:line="240" w:lineRule="auto"/>
        <w:ind w:firstLine="0" w:firstLineChars="0"/>
        <w:jc w:val="left"/>
        <w:rPr>
          <w:rFonts w:hint="eastAsia" w:cs="宋体"/>
          <w:b/>
          <w:bCs/>
          <w:color w:val="000000" w:themeColor="text1"/>
          <w:sz w:val="21"/>
          <w:szCs w:val="21"/>
          <w:highlight w:val="none"/>
          <w:lang w:val="en-US" w:eastAsia="zh-CN"/>
          <w14:textFill>
            <w14:solidFill>
              <w14:schemeClr w14:val="tx1"/>
            </w14:solidFill>
          </w14:textFill>
        </w:rPr>
      </w:pPr>
      <w:r>
        <w:rPr>
          <w:rFonts w:hint="eastAsia" w:cs="宋体"/>
          <w:b/>
          <w:bCs/>
          <w:color w:val="000000" w:themeColor="text1"/>
          <w:sz w:val="21"/>
          <w:szCs w:val="21"/>
          <w:highlight w:val="none"/>
          <w:lang w:val="en-US" w:eastAsia="zh-CN"/>
          <w14:textFill>
            <w14:solidFill>
              <w14:schemeClr w14:val="tx1"/>
            </w14:solidFill>
          </w14:textFill>
        </w:rPr>
        <w:t xml:space="preserve">表7-1 </w:t>
      </w:r>
    </w:p>
    <w:tbl>
      <w:tblPr>
        <w:tblStyle w:val="40"/>
        <w:tblW w:w="5007" w:type="pct"/>
        <w:tblInd w:w="0" w:type="dxa"/>
        <w:shd w:val="clear" w:color="auto" w:fill="auto"/>
        <w:tblLayout w:type="autofit"/>
        <w:tblCellMar>
          <w:top w:w="0" w:type="dxa"/>
          <w:left w:w="0" w:type="dxa"/>
          <w:bottom w:w="0" w:type="dxa"/>
          <w:right w:w="0" w:type="dxa"/>
        </w:tblCellMar>
      </w:tblPr>
      <w:tblGrid>
        <w:gridCol w:w="908"/>
        <w:gridCol w:w="3502"/>
        <w:gridCol w:w="1007"/>
        <w:gridCol w:w="750"/>
        <w:gridCol w:w="1103"/>
        <w:gridCol w:w="948"/>
        <w:gridCol w:w="897"/>
      </w:tblGrid>
      <w:tr>
        <w:tblPrEx>
          <w:shd w:val="clear" w:color="auto" w:fill="auto"/>
          <w:tblCellMar>
            <w:top w:w="0" w:type="dxa"/>
            <w:left w:w="0" w:type="dxa"/>
            <w:bottom w:w="0" w:type="dxa"/>
            <w:right w:w="0" w:type="dxa"/>
          </w:tblCellMar>
        </w:tblPrEx>
        <w:trPr>
          <w:trHeight w:val="454" w:hRule="exact"/>
          <w:tblHeader/>
        </w:trPr>
        <w:tc>
          <w:tcPr>
            <w:tcW w:w="498" w:type="pct"/>
            <w:vMerge w:val="restart"/>
            <w:tcBorders>
              <w:top w:val="double" w:color="000000" w:sz="4" w:space="0"/>
              <w:left w:val="doub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序号</w:t>
            </w:r>
          </w:p>
        </w:tc>
        <w:tc>
          <w:tcPr>
            <w:tcW w:w="1920" w:type="pct"/>
            <w:vMerge w:val="restart"/>
            <w:tcBorders>
              <w:top w:val="doub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主要原辅料名称</w:t>
            </w:r>
          </w:p>
        </w:tc>
        <w:tc>
          <w:tcPr>
            <w:tcW w:w="963" w:type="pct"/>
            <w:gridSpan w:val="2"/>
            <w:tcBorders>
              <w:top w:val="doub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吨产品消耗指标</w:t>
            </w:r>
          </w:p>
        </w:tc>
        <w:tc>
          <w:tcPr>
            <w:tcW w:w="1125" w:type="pct"/>
            <w:gridSpan w:val="2"/>
            <w:tcBorders>
              <w:top w:val="doub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年消耗量</w:t>
            </w:r>
          </w:p>
        </w:tc>
        <w:tc>
          <w:tcPr>
            <w:tcW w:w="492" w:type="pct"/>
            <w:vMerge w:val="restart"/>
            <w:tcBorders>
              <w:top w:val="double" w:color="000000" w:sz="4" w:space="0"/>
              <w:left w:val="single" w:color="000000" w:sz="4" w:space="0"/>
              <w:bottom w:val="single" w:color="000000" w:sz="4" w:space="0"/>
              <w:right w:val="doub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来源</w:t>
            </w:r>
          </w:p>
        </w:tc>
      </w:tr>
      <w:tr>
        <w:tblPrEx>
          <w:shd w:val="clear" w:color="auto" w:fill="auto"/>
          <w:tblCellMar>
            <w:top w:w="0" w:type="dxa"/>
            <w:left w:w="0" w:type="dxa"/>
            <w:bottom w:w="0" w:type="dxa"/>
            <w:right w:w="0" w:type="dxa"/>
          </w:tblCellMar>
        </w:tblPrEx>
        <w:trPr>
          <w:trHeight w:val="454" w:hRule="exact"/>
          <w:tblHeader/>
        </w:trPr>
        <w:tc>
          <w:tcPr>
            <w:tcW w:w="498" w:type="pct"/>
            <w:vMerge w:val="continue"/>
            <w:tcBorders>
              <w:top w:val="single" w:color="000000" w:sz="4" w:space="0"/>
              <w:left w:val="doub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1920"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数量</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单位</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数量</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单位</w:t>
            </w:r>
          </w:p>
        </w:tc>
        <w:tc>
          <w:tcPr>
            <w:tcW w:w="492" w:type="pct"/>
            <w:vMerge w:val="continue"/>
            <w:tcBorders>
              <w:top w:val="single" w:color="000000" w:sz="4" w:space="0"/>
              <w:left w:val="single" w:color="000000" w:sz="4" w:space="0"/>
              <w:bottom w:val="single" w:color="000000" w:sz="4" w:space="0"/>
              <w:right w:val="double" w:color="000000" w:sz="4" w:space="0"/>
            </w:tcBorders>
            <w:shd w:val="clear" w:color="auto" w:fill="FFFFFF" w:themeFill="background1"/>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黑青稞12°P拉格啤酒</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1.1</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浅色大麦芽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296</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888</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1.2</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结晶麦芽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24</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72</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1.4</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小麦麦芽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40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120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1.5</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40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120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囊谦</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1.6</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啤酒花</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25</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75</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1.7</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酵母</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3</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1.8</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易拉罐、玻璃瓶</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336</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个</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1007</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万个</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西宁</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包装箱</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14</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个</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42</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万个</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西宁</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黑青稞啤酒（13.5°P黑啤）</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1.1</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浅色大麦芽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279.0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558.00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1.2</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结晶麦芽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50.00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shd w:val="clear" w:color="auto" w:fill="auto"/>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1.4</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35.0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70.00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1.5</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红麦芽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50.00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1.6</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深焦麦芽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50.00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1.7</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黑青稞麦芽</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43.0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86.00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囊谦</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1.8</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啤酒花</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25.0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50.00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1.9</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酵母</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1.0</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kg</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2.00</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t</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国内</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1.1</w:t>
            </w:r>
            <w:r>
              <w:rPr>
                <w:rFonts w:hint="eastAsia"/>
                <w:color w:val="000000" w:themeColor="text1"/>
                <w:sz w:val="24"/>
                <w:highlight w:val="none"/>
                <w:lang w:val="en-US" w:eastAsia="zh-CN"/>
                <w14:textFill>
                  <w14:solidFill>
                    <w14:schemeClr w14:val="tx1"/>
                  </w14:solidFill>
                </w14:textFill>
              </w:rPr>
              <w:t>0</w:t>
            </w:r>
          </w:p>
        </w:tc>
        <w:tc>
          <w:tcPr>
            <w:tcW w:w="1920"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易拉罐、玻璃瓶</w:t>
            </w:r>
          </w:p>
        </w:tc>
        <w:tc>
          <w:tcPr>
            <w:tcW w:w="552"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336</w:t>
            </w:r>
          </w:p>
        </w:tc>
        <w:tc>
          <w:tcPr>
            <w:tcW w:w="41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个</w:t>
            </w:r>
          </w:p>
        </w:tc>
        <w:tc>
          <w:tcPr>
            <w:tcW w:w="605"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671</w:t>
            </w:r>
          </w:p>
        </w:tc>
        <w:tc>
          <w:tcPr>
            <w:tcW w:w="5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万个</w:t>
            </w:r>
          </w:p>
        </w:tc>
        <w:tc>
          <w:tcPr>
            <w:tcW w:w="492" w:type="pct"/>
            <w:tcBorders>
              <w:top w:val="single" w:color="000000" w:sz="4" w:space="0"/>
              <w:left w:val="single" w:color="000000" w:sz="4" w:space="0"/>
              <w:bottom w:val="sing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西宁</w:t>
            </w:r>
          </w:p>
        </w:tc>
      </w:tr>
      <w:tr>
        <w:tblPrEx>
          <w:tblCellMar>
            <w:top w:w="0" w:type="dxa"/>
            <w:left w:w="0" w:type="dxa"/>
            <w:bottom w:w="0" w:type="dxa"/>
            <w:right w:w="0" w:type="dxa"/>
          </w:tblCellMar>
        </w:tblPrEx>
        <w:trPr>
          <w:trHeight w:val="454" w:hRule="exact"/>
        </w:trPr>
        <w:tc>
          <w:tcPr>
            <w:tcW w:w="498" w:type="pct"/>
            <w:tcBorders>
              <w:top w:val="single" w:color="000000" w:sz="4" w:space="0"/>
              <w:left w:val="doub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1.1</w:t>
            </w:r>
            <w:r>
              <w:rPr>
                <w:rFonts w:hint="eastAsia"/>
                <w:color w:val="000000" w:themeColor="text1"/>
                <w:sz w:val="24"/>
                <w:highlight w:val="none"/>
                <w:lang w:val="en-US" w:eastAsia="zh-CN"/>
                <w14:textFill>
                  <w14:solidFill>
                    <w14:schemeClr w14:val="tx1"/>
                  </w14:solidFill>
                </w14:textFill>
              </w:rPr>
              <w:t>1</w:t>
            </w:r>
          </w:p>
        </w:tc>
        <w:tc>
          <w:tcPr>
            <w:tcW w:w="1920" w:type="pct"/>
            <w:tcBorders>
              <w:top w:val="single" w:color="000000" w:sz="4" w:space="0"/>
              <w:left w:val="sing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包装箱</w:t>
            </w:r>
          </w:p>
        </w:tc>
        <w:tc>
          <w:tcPr>
            <w:tcW w:w="552" w:type="pct"/>
            <w:tcBorders>
              <w:top w:val="single" w:color="000000" w:sz="4" w:space="0"/>
              <w:left w:val="sing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14</w:t>
            </w:r>
          </w:p>
        </w:tc>
        <w:tc>
          <w:tcPr>
            <w:tcW w:w="411" w:type="pct"/>
            <w:tcBorders>
              <w:top w:val="single" w:color="000000" w:sz="4" w:space="0"/>
              <w:left w:val="sing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个</w:t>
            </w:r>
          </w:p>
        </w:tc>
        <w:tc>
          <w:tcPr>
            <w:tcW w:w="605" w:type="pct"/>
            <w:tcBorders>
              <w:top w:val="single" w:color="000000" w:sz="4" w:space="0"/>
              <w:left w:val="sing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28</w:t>
            </w:r>
          </w:p>
        </w:tc>
        <w:tc>
          <w:tcPr>
            <w:tcW w:w="519" w:type="pct"/>
            <w:tcBorders>
              <w:top w:val="single" w:color="000000" w:sz="4" w:space="0"/>
              <w:left w:val="single" w:color="000000" w:sz="4" w:space="0"/>
              <w:bottom w:val="double" w:color="000000" w:sz="4" w:space="0"/>
              <w:right w:val="sing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万个</w:t>
            </w:r>
          </w:p>
        </w:tc>
        <w:tc>
          <w:tcPr>
            <w:tcW w:w="492" w:type="pct"/>
            <w:tcBorders>
              <w:top w:val="single" w:color="000000" w:sz="4" w:space="0"/>
              <w:left w:val="single" w:color="000000" w:sz="4" w:space="0"/>
              <w:bottom w:val="double" w:color="000000" w:sz="4" w:space="0"/>
              <w:right w:val="double" w:color="000000" w:sz="4" w:space="0"/>
            </w:tcBorders>
            <w:shd w:val="clear" w:color="auto" w:fill="FFFFFF" w:themeFill="background1"/>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西宁</w:t>
            </w:r>
          </w:p>
        </w:tc>
      </w:tr>
    </w:tbl>
    <w:p>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7.1.2原材料供应来源及运输方式</w:t>
      </w:r>
    </w:p>
    <w:p>
      <w:pPr>
        <w:spacing w:line="360" w:lineRule="auto"/>
        <w:ind w:firstLine="560" w:firstLineChars="200"/>
        <w:rPr>
          <w:rFonts w:hint="eastAsia" w:ascii="仿宋_GB2312" w:eastAsia="仿宋_GB2312"/>
          <w:bCs/>
          <w:color w:val="000000" w:themeColor="text1"/>
          <w:kern w:val="44"/>
          <w:szCs w:val="28"/>
          <w:highlight w:val="none"/>
          <w:lang w:val="zh-CN"/>
          <w14:textFill>
            <w14:solidFill>
              <w14:schemeClr w14:val="tx1"/>
            </w14:solidFill>
          </w14:textFill>
        </w:rPr>
      </w:pPr>
      <w:r>
        <w:rPr>
          <w:rFonts w:hint="eastAsia" w:ascii="仿宋_GB2312" w:eastAsia="仿宋_GB2312"/>
          <w:bCs/>
          <w:color w:val="000000" w:themeColor="text1"/>
          <w:kern w:val="44"/>
          <w:szCs w:val="28"/>
          <w:highlight w:val="none"/>
          <w:lang w:val="zh-CN"/>
          <w14:textFill>
            <w14:solidFill>
              <w14:schemeClr w14:val="tx1"/>
            </w14:solidFill>
          </w14:textFill>
        </w:rPr>
        <w:t>（1）黑青稞原材料来源</w:t>
      </w:r>
    </w:p>
    <w:p>
      <w:pPr>
        <w:spacing w:line="360" w:lineRule="auto"/>
        <w:ind w:firstLine="560" w:firstLineChars="200"/>
        <w:rPr>
          <w:rFonts w:hint="eastAsia" w:ascii="仿宋_GB2312" w:eastAsia="仿宋_GB2312"/>
          <w:bCs/>
          <w:color w:val="000000" w:themeColor="text1"/>
          <w:kern w:val="44"/>
          <w:szCs w:val="28"/>
          <w:highlight w:val="none"/>
          <w14:textFill>
            <w14:solidFill>
              <w14:schemeClr w14:val="tx1"/>
            </w14:solidFill>
          </w14:textFill>
        </w:rPr>
      </w:pPr>
      <w:r>
        <w:rPr>
          <w:rFonts w:hint="eastAsia" w:ascii="仿宋_GB2312" w:eastAsia="仿宋_GB2312"/>
          <w:bCs/>
          <w:color w:val="000000" w:themeColor="text1"/>
          <w:kern w:val="44"/>
          <w:szCs w:val="28"/>
          <w:highlight w:val="none"/>
          <w:lang w:val="zh-CN" w:eastAsia="zh-CN"/>
          <w14:textFill>
            <w14:solidFill>
              <w14:schemeClr w14:val="tx1"/>
            </w14:solidFill>
          </w14:textFill>
        </w:rPr>
        <w:t>囊谦县</w:t>
      </w:r>
      <w:r>
        <w:rPr>
          <w:rFonts w:hint="eastAsia" w:ascii="仿宋_GB2312" w:eastAsia="仿宋_GB2312"/>
          <w:bCs/>
          <w:color w:val="000000" w:themeColor="text1"/>
          <w:kern w:val="44"/>
          <w:szCs w:val="28"/>
          <w:highlight w:val="none"/>
          <w:lang w:val="zh-CN"/>
          <w14:textFill>
            <w14:solidFill>
              <w14:schemeClr w14:val="tx1"/>
            </w14:solidFill>
          </w14:textFill>
        </w:rPr>
        <w:t>农村专业合作社和周边农户。</w:t>
      </w:r>
    </w:p>
    <w:p>
      <w:pPr>
        <w:ind w:firstLine="560"/>
        <w:rPr>
          <w:rFonts w:hint="eastAsia"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lang w:val="en-US" w:eastAsia="zh-CN"/>
          <w14:textFill>
            <w14:solidFill>
              <w14:schemeClr w14:val="tx1"/>
            </w14:solidFill>
          </w14:textFill>
        </w:rPr>
        <w:t>2</w:t>
      </w: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lang w:val="en-US" w:eastAsia="zh-CN"/>
          <w14:textFill>
            <w14:solidFill>
              <w14:schemeClr w14:val="tx1"/>
            </w14:solidFill>
          </w14:textFill>
        </w:rPr>
        <w:t>麦芽、啤酒花、酵母</w:t>
      </w:r>
      <w:r>
        <w:rPr>
          <w:rFonts w:hint="eastAsia" w:ascii="仿宋_GB2312" w:eastAsia="仿宋_GB2312" w:cs="宋体"/>
          <w:color w:val="000000" w:themeColor="text1"/>
          <w:szCs w:val="28"/>
          <w:highlight w:val="none"/>
          <w:lang w:val="zh-CN"/>
          <w14:textFill>
            <w14:solidFill>
              <w14:schemeClr w14:val="tx1"/>
            </w14:solidFill>
          </w14:textFill>
        </w:rPr>
        <w:t>原材料来源</w:t>
      </w:r>
    </w:p>
    <w:p>
      <w:pPr>
        <w:ind w:firstLine="560"/>
        <w:rPr>
          <w:rFonts w:hint="eastAsia" w:ascii="仿宋_GB2312" w:eastAsia="仿宋_GB2312" w:cs="宋体"/>
          <w:color w:val="000000" w:themeColor="text1"/>
          <w:szCs w:val="28"/>
          <w:highlight w:val="none"/>
          <w:lang w:val="en-US" w:eastAsia="zh-CN"/>
          <w14:textFill>
            <w14:solidFill>
              <w14:schemeClr w14:val="tx1"/>
            </w14:solidFill>
          </w14:textFill>
        </w:rPr>
      </w:pPr>
      <w:r>
        <w:rPr>
          <w:rFonts w:hint="eastAsia" w:ascii="仿宋_GB2312" w:eastAsia="仿宋_GB2312" w:cs="宋体"/>
          <w:color w:val="000000" w:themeColor="text1"/>
          <w:szCs w:val="28"/>
          <w:highlight w:val="none"/>
          <w:lang w:val="en-US" w:eastAsia="zh-CN"/>
          <w14:textFill>
            <w14:solidFill>
              <w14:schemeClr w14:val="tx1"/>
            </w14:solidFill>
          </w14:textFill>
        </w:rPr>
        <w:t>浅色大麦芽、结晶麦芽、小麦麦芽、结晶麦芽、黑麦芽、红麦芽、深焦麦芽、啤酒花、酵母等从全国采购。</w:t>
      </w:r>
    </w:p>
    <w:p>
      <w:pPr>
        <w:ind w:firstLine="560"/>
        <w:rPr>
          <w:rFonts w:hint="eastAsia"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w:t>
      </w:r>
      <w:r>
        <w:rPr>
          <w:rFonts w:hint="eastAsia" w:ascii="仿宋_GB2312" w:eastAsia="仿宋_GB2312" w:cs="宋体"/>
          <w:color w:val="000000" w:themeColor="text1"/>
          <w:szCs w:val="28"/>
          <w:highlight w:val="none"/>
          <w:lang w:val="en-US" w:eastAsia="zh-CN"/>
          <w14:textFill>
            <w14:solidFill>
              <w14:schemeClr w14:val="tx1"/>
            </w14:solidFill>
          </w14:textFill>
        </w:rPr>
        <w:t>3）</w:t>
      </w:r>
      <w:r>
        <w:rPr>
          <w:rFonts w:hint="eastAsia" w:ascii="仿宋_GB2312" w:eastAsia="仿宋_GB2312" w:cs="宋体"/>
          <w:color w:val="000000" w:themeColor="text1"/>
          <w:szCs w:val="28"/>
          <w:highlight w:val="none"/>
          <w:lang w:val="zh-CN"/>
          <w14:textFill>
            <w14:solidFill>
              <w14:schemeClr w14:val="tx1"/>
            </w14:solidFill>
          </w14:textFill>
        </w:rPr>
        <w:t>运输方式</w:t>
      </w:r>
    </w:p>
    <w:p>
      <w:pPr>
        <w:ind w:firstLine="560"/>
        <w:rPr>
          <w:rFonts w:hint="eastAsia"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采用</w:t>
      </w:r>
      <w:r>
        <w:rPr>
          <w:rFonts w:hint="eastAsia" w:ascii="仿宋_GB2312" w:eastAsia="仿宋_GB2312" w:cs="宋体"/>
          <w:color w:val="000000" w:themeColor="text1"/>
          <w:szCs w:val="28"/>
          <w:highlight w:val="none"/>
          <w:lang w:val="en-US" w:eastAsia="zh-CN"/>
          <w14:textFill>
            <w14:solidFill>
              <w14:schemeClr w14:val="tx1"/>
            </w14:solidFill>
          </w14:textFill>
        </w:rPr>
        <w:t>航空和</w:t>
      </w:r>
      <w:r>
        <w:rPr>
          <w:rFonts w:hint="eastAsia" w:ascii="仿宋_GB2312" w:eastAsia="仿宋_GB2312" w:cs="宋体"/>
          <w:color w:val="000000" w:themeColor="text1"/>
          <w:szCs w:val="28"/>
          <w:highlight w:val="none"/>
          <w:lang w:val="zh-CN"/>
          <w14:textFill>
            <w14:solidFill>
              <w14:schemeClr w14:val="tx1"/>
            </w14:solidFill>
          </w14:textFill>
        </w:rPr>
        <w:t>公路运输。</w:t>
      </w:r>
    </w:p>
    <w:p>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7.1.3辅助材料供应及运输方式</w:t>
      </w:r>
    </w:p>
    <w:p>
      <w:pPr>
        <w:ind w:firstLine="560"/>
        <w:rPr>
          <w:rFonts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材料来源：西宁地区。</w:t>
      </w:r>
    </w:p>
    <w:p>
      <w:pPr>
        <w:ind w:firstLine="560"/>
        <w:rPr>
          <w:rFonts w:hint="eastAsia" w:ascii="仿宋_GB2312" w:eastAsia="仿宋_GB2312" w:cs="宋体"/>
          <w:color w:val="000000" w:themeColor="text1"/>
          <w:szCs w:val="28"/>
          <w:highlight w:val="none"/>
          <w:lang w:val="zh-CN"/>
          <w14:textFill>
            <w14:solidFill>
              <w14:schemeClr w14:val="tx1"/>
            </w14:solidFill>
          </w14:textFill>
        </w:rPr>
      </w:pPr>
      <w:r>
        <w:rPr>
          <w:rFonts w:hint="eastAsia" w:ascii="仿宋_GB2312" w:eastAsia="仿宋_GB2312" w:cs="宋体"/>
          <w:color w:val="000000" w:themeColor="text1"/>
          <w:szCs w:val="28"/>
          <w:highlight w:val="none"/>
          <w:lang w:val="zh-CN"/>
          <w14:textFill>
            <w14:solidFill>
              <w14:schemeClr w14:val="tx1"/>
            </w14:solidFill>
          </w14:textFill>
        </w:rPr>
        <w:t>运输方式：采用公路运输。</w:t>
      </w:r>
    </w:p>
    <w:p>
      <w:pPr>
        <w:pStyle w:val="3"/>
        <w:bidi w:val="0"/>
        <w:rPr>
          <w:color w:val="000000" w:themeColor="text1"/>
          <w14:textFill>
            <w14:solidFill>
              <w14:schemeClr w14:val="tx1"/>
            </w14:solidFill>
          </w14:textFill>
        </w:rPr>
      </w:pPr>
      <w:bookmarkStart w:id="157" w:name="_Toc29480"/>
      <w:bookmarkStart w:id="158" w:name="_Toc8835371"/>
      <w:bookmarkStart w:id="159" w:name="_Toc17288"/>
      <w:bookmarkStart w:id="160" w:name="_Toc345918158"/>
      <w:bookmarkStart w:id="161" w:name="_Toc326067388"/>
      <w:bookmarkStart w:id="162" w:name="_Toc325988920"/>
      <w:bookmarkStart w:id="163" w:name="_Toc326067472"/>
      <w:bookmarkStart w:id="164" w:name="_Toc30498187"/>
      <w:r>
        <w:rPr>
          <w:color w:val="000000" w:themeColor="text1"/>
          <w14:textFill>
            <w14:solidFill>
              <w14:schemeClr w14:val="tx1"/>
            </w14:solidFill>
          </w14:textFill>
        </w:rPr>
        <w:t>7.2燃料及动力供应方案</w:t>
      </w:r>
      <w:bookmarkEnd w:id="157"/>
      <w:bookmarkEnd w:id="158"/>
      <w:bookmarkEnd w:id="159"/>
    </w:p>
    <w:p>
      <w:pPr>
        <w:pStyle w:val="4"/>
        <w:bidi w:val="0"/>
        <w:rPr>
          <w:color w:val="000000" w:themeColor="text1"/>
          <w14:textFill>
            <w14:solidFill>
              <w14:schemeClr w14:val="tx1"/>
            </w14:solidFill>
          </w14:textFill>
        </w:rPr>
      </w:pPr>
      <w:bookmarkStart w:id="165" w:name="_Toc177444326"/>
      <w:r>
        <w:rPr>
          <w:rFonts w:hint="eastAsia"/>
          <w:color w:val="000000" w:themeColor="text1"/>
          <w14:textFill>
            <w14:solidFill>
              <w14:schemeClr w14:val="tx1"/>
            </w14:solidFill>
          </w14:textFill>
        </w:rPr>
        <w:t>7.2.1燃料、动力品种与年需要量</w:t>
      </w:r>
      <w:bookmarkEnd w:id="165"/>
    </w:p>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本项目生产运行所用的燃料动力为水、电</w:t>
      </w:r>
      <w:bookmarkStart w:id="166" w:name="_Toc177444327"/>
      <w:r>
        <w:rPr>
          <w:rFonts w:hint="eastAsia"/>
          <w:color w:val="000000" w:themeColor="text1"/>
          <w:highlight w:val="none"/>
          <w:lang w:val="zh-CN"/>
          <w14:textFill>
            <w14:solidFill>
              <w14:schemeClr w14:val="tx1"/>
            </w14:solidFill>
          </w14:textFill>
        </w:rPr>
        <w:t>、生物质燃料。</w:t>
      </w:r>
    </w:p>
    <w:p>
      <w:pPr>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zh-CN"/>
          <w14:textFill>
            <w14:solidFill>
              <w14:schemeClr w14:val="tx1"/>
            </w14:solidFill>
          </w14:textFill>
        </w:rPr>
        <w:t>）黑青稞啤酒加工</w:t>
      </w:r>
      <w:r>
        <w:rPr>
          <w:rFonts w:hint="eastAsia"/>
          <w:color w:val="000000" w:themeColor="text1"/>
          <w:highlight w:val="none"/>
          <w14:textFill>
            <w14:solidFill>
              <w14:schemeClr w14:val="tx1"/>
            </w14:solidFill>
          </w14:textFill>
        </w:rPr>
        <w:t>生产线</w:t>
      </w:r>
      <w:r>
        <w:rPr>
          <w:rFonts w:hint="eastAsia"/>
          <w:color w:val="000000" w:themeColor="text1"/>
          <w:highlight w:val="none"/>
          <w:lang w:val="zh-CN"/>
          <w14:textFill>
            <w14:solidFill>
              <w14:schemeClr w14:val="tx1"/>
            </w14:solidFill>
          </w14:textFill>
        </w:rPr>
        <w:t>年用电为</w:t>
      </w:r>
      <w:r>
        <w:rPr>
          <w:rFonts w:hint="eastAsia"/>
          <w:color w:val="000000" w:themeColor="text1"/>
          <w:highlight w:val="none"/>
          <w:lang w:val="en-US" w:eastAsia="zh-CN"/>
          <w14:textFill>
            <w14:solidFill>
              <w14:schemeClr w14:val="tx1"/>
            </w14:solidFill>
          </w14:textFill>
        </w:rPr>
        <w:t>118.9</w:t>
      </w:r>
      <w:r>
        <w:rPr>
          <w:rFonts w:hint="eastAsia"/>
          <w:color w:val="000000" w:themeColor="text1"/>
          <w:highlight w:val="none"/>
          <w14:textFill>
            <w14:solidFill>
              <w14:schemeClr w14:val="tx1"/>
            </w14:solidFill>
          </w14:textFill>
        </w:rPr>
        <w:t>kW。</w:t>
      </w:r>
    </w:p>
    <w:p>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zh-CN"/>
          <w14:textFill>
            <w14:solidFill>
              <w14:schemeClr w14:val="tx1"/>
            </w14:solidFill>
          </w14:textFill>
        </w:rPr>
        <w:t>）项目年用水量为</w:t>
      </w:r>
      <w:r>
        <w:rPr>
          <w:rFonts w:hint="eastAsia"/>
          <w:color w:val="000000" w:themeColor="text1"/>
          <w:highlight w:val="none"/>
          <w:lang w:val="en-US" w:eastAsia="zh-CN"/>
          <w14:textFill>
            <w14:solidFill>
              <w14:schemeClr w14:val="tx1"/>
            </w14:solidFill>
          </w14:textFill>
        </w:rPr>
        <w:t>12507m³</w:t>
      </w:r>
      <w:r>
        <w:rPr>
          <w:rFonts w:hint="eastAsia"/>
          <w:color w:val="000000" w:themeColor="text1"/>
          <w:highlight w:val="none"/>
          <w:lang w:val="zh-CN"/>
          <w14:textFill>
            <w14:solidFill>
              <w14:schemeClr w14:val="tx1"/>
            </w14:solidFill>
          </w14:textFill>
        </w:rPr>
        <w:t>。</w:t>
      </w:r>
    </w:p>
    <w:p>
      <w:pPr>
        <w:spacing w:line="360" w:lineRule="auto"/>
        <w:ind w:firstLine="560" w:firstLineChars="20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14:textFill>
            <w14:solidFill>
              <w14:schemeClr w14:val="tx1"/>
            </w14:solidFill>
          </w14:textFill>
        </w:rPr>
        <w:t>）</w:t>
      </w:r>
      <w:r>
        <w:rPr>
          <w:rFonts w:eastAsia="仿宋"/>
          <w:color w:val="000000" w:themeColor="text1"/>
          <w:sz w:val="28"/>
          <w:szCs w:val="28"/>
          <w:lang w:val="zh-CN"/>
          <w14:textFill>
            <w14:solidFill>
              <w14:schemeClr w14:val="tx1"/>
            </w14:solidFill>
          </w14:textFill>
        </w:rPr>
        <w:t>项目建成后主要燃料为</w:t>
      </w:r>
      <w:r>
        <w:rPr>
          <w:rFonts w:hint="eastAsia"/>
          <w:color w:val="000000" w:themeColor="text1"/>
          <w:sz w:val="28"/>
          <w:szCs w:val="28"/>
          <w:lang w:val="en-US" w:eastAsia="zh-CN"/>
          <w14:textFill>
            <w14:solidFill>
              <w14:schemeClr w14:val="tx1"/>
            </w14:solidFill>
          </w14:textFill>
        </w:rPr>
        <w:t>生物质锅炉</w:t>
      </w:r>
      <w:r>
        <w:rPr>
          <w:rFonts w:eastAsia="仿宋"/>
          <w:color w:val="000000" w:themeColor="text1"/>
          <w:sz w:val="28"/>
          <w:szCs w:val="28"/>
          <w:lang w:val="zh-CN"/>
          <w14:textFill>
            <w14:solidFill>
              <w14:schemeClr w14:val="tx1"/>
            </w14:solidFill>
          </w14:textFill>
        </w:rPr>
        <w:t>用</w:t>
      </w:r>
      <w:r>
        <w:rPr>
          <w:rFonts w:hint="eastAsia"/>
          <w:color w:val="000000" w:themeColor="text1"/>
          <w:sz w:val="28"/>
          <w:szCs w:val="28"/>
          <w:lang w:val="en-US" w:eastAsia="zh-CN"/>
          <w14:textFill>
            <w14:solidFill>
              <w14:schemeClr w14:val="tx1"/>
            </w14:solidFill>
          </w14:textFill>
        </w:rPr>
        <w:t>燃料</w:t>
      </w:r>
      <w:r>
        <w:rPr>
          <w:rFonts w:eastAsia="仿宋"/>
          <w:color w:val="000000" w:themeColor="text1"/>
          <w:sz w:val="28"/>
          <w:szCs w:val="28"/>
          <w:lang w:val="zh-CN"/>
          <w14:textFill>
            <w14:solidFill>
              <w14:schemeClr w14:val="tx1"/>
            </w14:solidFill>
          </w14:textFill>
        </w:rPr>
        <w:t>，估算消耗</w:t>
      </w:r>
      <w:r>
        <w:rPr>
          <w:rFonts w:hint="eastAsia"/>
          <w:color w:val="000000" w:themeColor="text1"/>
          <w:sz w:val="28"/>
          <w:szCs w:val="28"/>
          <w:lang w:val="en-US" w:eastAsia="zh-CN"/>
          <w14:textFill>
            <w14:solidFill>
              <w14:schemeClr w14:val="tx1"/>
            </w14:solidFill>
          </w14:textFill>
        </w:rPr>
        <w:t>84</w:t>
      </w:r>
      <w:r>
        <w:rPr>
          <w:rFonts w:eastAsia="仿宋"/>
          <w:color w:val="000000" w:themeColor="text1"/>
          <w:sz w:val="28"/>
          <w:szCs w:val="28"/>
          <w:lang w:val="zh-CN"/>
          <w14:textFill>
            <w14:solidFill>
              <w14:schemeClr w14:val="tx1"/>
            </w14:solidFill>
          </w14:textFill>
        </w:rPr>
        <w:t>t。</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7.2.2动力供应来源</w:t>
      </w:r>
    </w:p>
    <w:bookmarkEnd w:id="166"/>
    <w:p>
      <w:pPr>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本项目动力用电主要来源于</w:t>
      </w:r>
      <w:r>
        <w:rPr>
          <w:rFonts w:hint="eastAsia"/>
          <w:color w:val="000000" w:themeColor="text1"/>
          <w:lang w:val="en-US" w:eastAsia="zh-CN"/>
          <w14:textFill>
            <w14:solidFill>
              <w14:schemeClr w14:val="tx1"/>
            </w14:solidFill>
          </w14:textFill>
        </w:rPr>
        <w:t>原有管理间内预留的动力预留配电柜。</w:t>
      </w:r>
    </w:p>
    <w:bookmarkEnd w:id="160"/>
    <w:bookmarkEnd w:id="161"/>
    <w:bookmarkEnd w:id="162"/>
    <w:bookmarkEnd w:id="163"/>
    <w:bookmarkEnd w:id="164"/>
    <w:p>
      <w:pPr>
        <w:pStyle w:val="3"/>
        <w:bidi w:val="0"/>
        <w:rPr>
          <w:color w:val="000000" w:themeColor="text1"/>
          <w14:textFill>
            <w14:solidFill>
              <w14:schemeClr w14:val="tx1"/>
            </w14:solidFill>
          </w14:textFill>
        </w:rPr>
      </w:pPr>
      <w:bookmarkStart w:id="167" w:name="_Toc15996"/>
      <w:bookmarkStart w:id="168" w:name="_Toc32410"/>
      <w:bookmarkStart w:id="169" w:name="_Toc365550783"/>
      <w:r>
        <w:rPr>
          <w:color w:val="000000" w:themeColor="text1"/>
          <w14:textFill>
            <w14:solidFill>
              <w14:schemeClr w14:val="tx1"/>
            </w14:solidFill>
          </w14:textFill>
        </w:rPr>
        <w:t>7.3主要原材料价格</w:t>
      </w:r>
      <w:bookmarkEnd w:id="167"/>
      <w:bookmarkEnd w:id="168"/>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7.3.1黑青稞价格现状</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近年来，青稞产业市场的繁荣拉动黑青稞的需求上涨，黑青稞供不应求导致价格上涨，市场价格居高不下。目前囊谦县黑青稞</w:t>
      </w:r>
      <w:r>
        <w:rPr>
          <w:rFonts w:hint="eastAsia"/>
          <w:color w:val="000000" w:themeColor="text1"/>
          <w:sz w:val="28"/>
          <w:szCs w:val="28"/>
          <w:lang w:val="zh-CN"/>
          <w14:textFill>
            <w14:solidFill>
              <w14:schemeClr w14:val="tx1"/>
            </w14:solidFill>
          </w14:textFill>
        </w:rPr>
        <w:t>麦芽</w:t>
      </w:r>
      <w:r>
        <w:rPr>
          <w:rFonts w:eastAsia="仿宋"/>
          <w:color w:val="000000" w:themeColor="text1"/>
          <w:sz w:val="28"/>
          <w:szCs w:val="28"/>
          <w:lang w:val="zh-CN"/>
          <w14:textFill>
            <w14:solidFill>
              <w14:schemeClr w14:val="tx1"/>
            </w14:solidFill>
          </w14:textFill>
        </w:rPr>
        <w:t>收购价格为</w:t>
      </w:r>
      <w:r>
        <w:rPr>
          <w:rFonts w:hint="eastAsia"/>
          <w:color w:val="000000" w:themeColor="text1"/>
          <w:sz w:val="28"/>
          <w:szCs w:val="28"/>
          <w:lang w:val="en-US" w:eastAsia="zh-CN"/>
          <w14:textFill>
            <w14:solidFill>
              <w14:schemeClr w14:val="tx1"/>
            </w14:solidFill>
          </w14:textFill>
        </w:rPr>
        <w:t>12</w:t>
      </w:r>
      <w:r>
        <w:rPr>
          <w:rFonts w:eastAsia="仿宋"/>
          <w:color w:val="000000" w:themeColor="text1"/>
          <w:sz w:val="28"/>
          <w:szCs w:val="28"/>
          <w:lang w:val="zh-CN"/>
          <w14:textFill>
            <w14:solidFill>
              <w14:schemeClr w14:val="tx1"/>
            </w14:solidFill>
          </w14:textFill>
        </w:rPr>
        <w:t>元/kg。影响黑青稞价格变动的主要因素有：</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（1）黑青稞生产和需求量的变化</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黑青稞的生产量是随着种植面积增加或减少，当年的自然灾害严重不严重，库存量增加或减少而发生变化的。</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（2）国家宏观政策的调整</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产业政策、农业产业结构调整等重大决策会引起黑青稞价格波动。</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（3）人为炒作因素</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遇到原材料紧缺或严重减产时，投入一定量的资金很容易控制相当数量的货源，一些不法商贩会囤积炒作，引起价格的剧烈波动。</w:t>
      </w:r>
    </w:p>
    <w:p>
      <w:pPr>
        <w:pStyle w:val="4"/>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7.3.2黑青稞价格预测</w:t>
      </w:r>
    </w:p>
    <w:p>
      <w:pPr>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供求关系决定了黑青稞价格会持续上涨。黑青稞种植的规范化及绿色、有机种植基地面积的不断扩大，将进一步推动黑青稞品质和供应的稳定性，降低行业经营风险。</w:t>
      </w:r>
    </w:p>
    <w:bookmarkEnd w:id="169"/>
    <w:p>
      <w:pPr>
        <w:pStyle w:val="2"/>
        <w:rPr>
          <w:color w:val="000000" w:themeColor="text1"/>
          <w:highlight w:val="none"/>
          <w14:textFill>
            <w14:solidFill>
              <w14:schemeClr w14:val="tx1"/>
            </w14:solidFill>
          </w14:textFill>
        </w:rPr>
      </w:pPr>
      <w:bookmarkStart w:id="170" w:name="_Toc11241"/>
      <w:r>
        <w:rPr>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章  节</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能</w:t>
      </w:r>
      <w:bookmarkEnd w:id="170"/>
    </w:p>
    <w:p>
      <w:pPr>
        <w:pStyle w:val="3"/>
        <w:spacing w:before="192" w:after="216"/>
        <w:rPr>
          <w:color w:val="000000" w:themeColor="text1"/>
          <w:highlight w:val="none"/>
          <w14:textFill>
            <w14:solidFill>
              <w14:schemeClr w14:val="tx1"/>
            </w14:solidFill>
          </w14:textFill>
        </w:rPr>
      </w:pPr>
      <w:bookmarkStart w:id="171" w:name="_Toc318033780"/>
      <w:bookmarkStart w:id="172" w:name="_Toc252453965"/>
      <w:bookmarkStart w:id="173" w:name="_Toc404600474"/>
      <w:bookmarkStart w:id="174" w:name="_Toc252453905"/>
      <w:bookmarkStart w:id="175" w:name="_Toc24024"/>
      <w:bookmarkStart w:id="176" w:name="_Toc227487104"/>
      <w:bookmarkStart w:id="177" w:name="_Toc251834267"/>
      <w:bookmarkStart w:id="178" w:name="_Toc337670498"/>
      <w:bookmarkStart w:id="179" w:name="_Toc3553"/>
      <w:bookmarkStart w:id="180" w:name="_Toc252453845"/>
      <w:bookmarkStart w:id="181" w:name="_Toc4076"/>
      <w:bookmarkStart w:id="182" w:name="_Toc435196597"/>
      <w:bookmarkStart w:id="183" w:name="_Toc12336"/>
      <w:bookmarkStart w:id="184" w:name="_Toc24990"/>
      <w:bookmarkStart w:id="185" w:name="_Toc11290"/>
      <w:bookmarkStart w:id="186" w:name="_Toc21122"/>
      <w:bookmarkStart w:id="187" w:name="_Toc13986"/>
      <w:bookmarkStart w:id="188" w:name="_Toc20318"/>
      <w:bookmarkStart w:id="189" w:name="_Toc8360"/>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.1执行标准与规定</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ind w:firstLine="560"/>
        <w:rPr>
          <w:color w:val="000000" w:themeColor="text1"/>
          <w:highlight w:val="none"/>
          <w:lang w:val="zh-CN"/>
          <w14:textFill>
            <w14:solidFill>
              <w14:schemeClr w14:val="tx1"/>
            </w14:solidFill>
          </w14:textFill>
        </w:rPr>
      </w:pPr>
      <w:bookmarkStart w:id="190" w:name="_Toc14471"/>
      <w:bookmarkStart w:id="191" w:name="_Toc2325"/>
      <w:bookmarkStart w:id="192" w:name="_Toc21141"/>
      <w:bookmarkStart w:id="193" w:name="_Toc16757"/>
      <w:bookmarkStart w:id="194" w:name="_Toc409539186"/>
      <w:r>
        <w:rPr>
          <w:rFonts w:hint="eastAsia"/>
          <w:color w:val="000000" w:themeColor="text1"/>
          <w:highlight w:val="none"/>
          <w:lang w:val="zh-CN"/>
          <w14:textFill>
            <w14:solidFill>
              <w14:schemeClr w14:val="tx1"/>
            </w14:solidFill>
          </w14:textFill>
        </w:rPr>
        <w:t>（1）《中华人民共和国节约能源法》（2008年4月1日）；</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（2）《工程设计节能技术暂行规定》（GBJ</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6-1985）；</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）《民用建筑节能设计标准》（JGJ</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26-2010）；</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4</w:t>
      </w:r>
      <w:r>
        <w:rPr>
          <w:rFonts w:hint="eastAsia"/>
          <w:color w:val="000000" w:themeColor="text1"/>
          <w:highlight w:val="none"/>
          <w:lang w:val="zh-CN"/>
          <w14:textFill>
            <w14:solidFill>
              <w14:schemeClr w14:val="tx1"/>
            </w14:solidFill>
          </w14:textFill>
        </w:rPr>
        <w:t>）《青海省建筑节能管理办法》；</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5</w:t>
      </w:r>
      <w:r>
        <w:rPr>
          <w:rFonts w:hint="eastAsia"/>
          <w:color w:val="000000" w:themeColor="text1"/>
          <w:highlight w:val="none"/>
          <w:lang w:val="zh-CN"/>
          <w14:textFill>
            <w14:solidFill>
              <w14:schemeClr w14:val="tx1"/>
            </w14:solidFill>
          </w14:textFill>
        </w:rPr>
        <w:t>）《民用建筑节能管理规定》（建设部</w:t>
      </w:r>
      <w:r>
        <w:rPr>
          <w:rFonts w:hint="eastAsia"/>
          <w:color w:val="000000" w:themeColor="text1"/>
          <w:highlight w:val="none"/>
          <w14:textFill>
            <w14:solidFill>
              <w14:schemeClr w14:val="tx1"/>
            </w14:solidFill>
          </w14:textFill>
        </w:rPr>
        <w:t>〔2005〕</w:t>
      </w:r>
      <w:r>
        <w:rPr>
          <w:rFonts w:hint="eastAsia"/>
          <w:color w:val="000000" w:themeColor="text1"/>
          <w:highlight w:val="none"/>
          <w:lang w:val="zh-CN"/>
          <w14:textFill>
            <w14:solidFill>
              <w14:schemeClr w14:val="tx1"/>
            </w14:solidFill>
          </w14:textFill>
        </w:rPr>
        <w:t>第143号令）；</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6</w:t>
      </w:r>
      <w:r>
        <w:rPr>
          <w:rFonts w:hint="eastAsia"/>
          <w:color w:val="000000" w:themeColor="text1"/>
          <w:highlight w:val="none"/>
          <w:lang w:val="zh-CN"/>
          <w14:textFill>
            <w14:solidFill>
              <w14:schemeClr w14:val="tx1"/>
            </w14:solidFill>
          </w14:textFill>
        </w:rPr>
        <w:t>）《工业建筑节能设计统一标准》(GB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51245-2017)；</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7</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《外墙外保温技术规程》</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JGJ</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lang w:val="zh-CN"/>
          <w14:textFill>
            <w14:solidFill>
              <w14:schemeClr w14:val="tx1"/>
            </w14:solidFill>
          </w14:textFill>
        </w:rPr>
        <w:t>144</w:t>
      </w:r>
      <w:r>
        <w:rPr>
          <w:rFonts w:hint="eastAsia"/>
          <w:color w:val="000000" w:themeColor="text1"/>
          <w:highlight w:val="none"/>
          <w:lang w:val="en-US" w:eastAsia="zh-CN"/>
          <w14:textFill>
            <w14:solidFill>
              <w14:schemeClr w14:val="tx1"/>
            </w14:solidFill>
          </w14:textFill>
        </w:rPr>
        <w:t>-</w:t>
      </w:r>
      <w:r>
        <w:rPr>
          <w:color w:val="000000" w:themeColor="text1"/>
          <w:highlight w:val="none"/>
          <w:lang w:val="zh-CN"/>
          <w14:textFill>
            <w14:solidFill>
              <w14:schemeClr w14:val="tx1"/>
            </w14:solidFill>
          </w14:textFill>
        </w:rPr>
        <w:t>2004</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8</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青海省建筑节能有关管理规定及有关技术标准规程。</w:t>
      </w:r>
    </w:p>
    <w:p>
      <w:pPr>
        <w:pStyle w:val="3"/>
        <w:spacing w:before="192" w:after="216"/>
        <w:rPr>
          <w:color w:val="000000" w:themeColor="text1"/>
          <w:highlight w:val="none"/>
          <w14:textFill>
            <w14:solidFill>
              <w14:schemeClr w14:val="tx1"/>
            </w14:solidFill>
          </w14:textFill>
        </w:rPr>
      </w:pPr>
      <w:bookmarkStart w:id="195" w:name="_Toc15366"/>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.2节能原则</w:t>
      </w:r>
      <w:bookmarkEnd w:id="190"/>
      <w:bookmarkEnd w:id="191"/>
      <w:bookmarkEnd w:id="192"/>
      <w:bookmarkEnd w:id="193"/>
      <w:bookmarkEnd w:id="194"/>
      <w:bookmarkEnd w:id="195"/>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能源是发展国民经济和提高人民生活水平的重要物质基础，国家对能源实行开发和节约并重的方针，为贯彻节约能源这一基本国策，本项目的节能设计按以下原则进行：</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w:t>
      </w:r>
      <w:r>
        <w:rPr>
          <w:rFonts w:hint="eastAsia" w:cs="宋体"/>
          <w:color w:val="000000" w:themeColor="text1"/>
          <w:szCs w:val="28"/>
          <w:highlight w:val="none"/>
          <w14:textFill>
            <w14:solidFill>
              <w14:schemeClr w14:val="tx1"/>
            </w14:solidFill>
          </w14:textFill>
        </w:rPr>
        <w:t>1</w:t>
      </w:r>
      <w:r>
        <w:rPr>
          <w:rFonts w:hint="eastAsia" w:cs="宋体"/>
          <w:color w:val="000000" w:themeColor="text1"/>
          <w:szCs w:val="28"/>
          <w:highlight w:val="none"/>
          <w:lang w:val="zh-CN"/>
          <w14:textFill>
            <w14:solidFill>
              <w14:schemeClr w14:val="tx1"/>
            </w14:solidFill>
          </w14:textFill>
        </w:rPr>
        <w:t>）遵循节约能源，因地制宜、技术先进、经济合理、安全可靠和保护环境的原则，做到合理利用和节约使用能源。</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w:t>
      </w:r>
      <w:r>
        <w:rPr>
          <w:rFonts w:hint="eastAsia" w:cs="宋体"/>
          <w:color w:val="000000" w:themeColor="text1"/>
          <w:szCs w:val="28"/>
          <w:highlight w:val="none"/>
          <w14:textFill>
            <w14:solidFill>
              <w14:schemeClr w14:val="tx1"/>
            </w14:solidFill>
          </w14:textFill>
        </w:rPr>
        <w:t>2</w:t>
      </w:r>
      <w:r>
        <w:rPr>
          <w:rFonts w:hint="eastAsia" w:cs="宋体"/>
          <w:color w:val="000000" w:themeColor="text1"/>
          <w:szCs w:val="28"/>
          <w:highlight w:val="none"/>
          <w:lang w:val="zh-CN"/>
          <w14:textFill>
            <w14:solidFill>
              <w14:schemeClr w14:val="tx1"/>
            </w14:solidFill>
          </w14:textFill>
        </w:rPr>
        <w:t>）采用先进的节能技术、新设备、新材料。</w:t>
      </w:r>
    </w:p>
    <w:p>
      <w:pPr>
        <w:ind w:firstLine="560"/>
        <w:rPr>
          <w:rFonts w:hint="eastAsia"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w:t>
      </w:r>
      <w:r>
        <w:rPr>
          <w:rFonts w:hint="eastAsia" w:cs="宋体"/>
          <w:color w:val="000000" w:themeColor="text1"/>
          <w:szCs w:val="28"/>
          <w:highlight w:val="none"/>
          <w14:textFill>
            <w14:solidFill>
              <w14:schemeClr w14:val="tx1"/>
            </w14:solidFill>
          </w14:textFill>
        </w:rPr>
        <w:t>3</w:t>
      </w:r>
      <w:r>
        <w:rPr>
          <w:rFonts w:hint="eastAsia" w:cs="宋体"/>
          <w:color w:val="000000" w:themeColor="text1"/>
          <w:szCs w:val="28"/>
          <w:highlight w:val="none"/>
          <w:lang w:val="zh-CN"/>
          <w14:textFill>
            <w14:solidFill>
              <w14:schemeClr w14:val="tx1"/>
            </w14:solidFill>
          </w14:textFill>
        </w:rPr>
        <w:t>）采用行之有效的节电、降低能耗等措施，尽可能降低综合能耗水平。</w:t>
      </w:r>
    </w:p>
    <w:p>
      <w:pPr>
        <w:pStyle w:val="3"/>
        <w:keepNext/>
        <w:keepLines/>
        <w:pageBreakBefore w:val="0"/>
        <w:widowControl w:val="0"/>
        <w:kinsoku/>
        <w:wordWrap/>
        <w:overflowPunct/>
        <w:topLinePunct w:val="0"/>
        <w:autoSpaceDE/>
        <w:autoSpaceDN/>
        <w:bidi w:val="0"/>
        <w:adjustRightInd/>
        <w:snapToGrid/>
        <w:spacing w:beforeAutospacing="0" w:afterAutospacing="0"/>
        <w:textAlignment w:val="auto"/>
        <w:rPr>
          <w:rFonts w:hint="eastAsia"/>
          <w:color w:val="000000" w:themeColor="text1"/>
          <w:lang w:val="en-US" w:eastAsia="zh-CN"/>
          <w14:textFill>
            <w14:solidFill>
              <w14:schemeClr w14:val="tx1"/>
            </w14:solidFill>
          </w14:textFill>
        </w:rPr>
      </w:pPr>
      <w:bookmarkStart w:id="196" w:name="_Toc22458"/>
      <w:bookmarkStart w:id="197" w:name="_Toc404"/>
      <w:bookmarkStart w:id="198" w:name="_Toc5932"/>
      <w:bookmarkStart w:id="199" w:name="_Toc24083"/>
      <w:bookmarkStart w:id="200" w:name="_Toc18286"/>
      <w:bookmarkStart w:id="201" w:name="_Toc9915"/>
      <w:bookmarkStart w:id="202" w:name="_Toc21600"/>
      <w:bookmarkStart w:id="203" w:name="_Toc32365"/>
      <w:bookmarkStart w:id="204" w:name="_Toc23779"/>
      <w:r>
        <w:rPr>
          <w:rFonts w:hint="eastAsia"/>
          <w:color w:val="000000" w:themeColor="text1"/>
          <w:lang w:val="en-US" w:eastAsia="zh-CN"/>
          <w14:textFill>
            <w14:solidFill>
              <w14:schemeClr w14:val="tx1"/>
            </w14:solidFill>
          </w14:textFill>
        </w:rPr>
        <w:t>8.3能耗分析</w:t>
      </w:r>
      <w:bookmarkEnd w:id="196"/>
      <w:bookmarkEnd w:id="197"/>
      <w:bookmarkEnd w:id="198"/>
      <w:bookmarkEnd w:id="199"/>
      <w:bookmarkEnd w:id="200"/>
      <w:bookmarkEnd w:id="201"/>
      <w:bookmarkEnd w:id="202"/>
      <w:bookmarkEnd w:id="203"/>
      <w:bookmarkEnd w:id="204"/>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本项目施工期拟定为</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个月，施工期</w:t>
      </w:r>
      <w:r>
        <w:rPr>
          <w:rFonts w:hint="eastAsia"/>
          <w:color w:val="000000" w:themeColor="text1"/>
          <w:lang w:eastAsia="zh-CN"/>
          <w14:textFill>
            <w14:solidFill>
              <w14:schemeClr w14:val="tx1"/>
            </w14:solidFill>
          </w14:textFill>
        </w:rPr>
        <w:t>消耗</w:t>
      </w:r>
      <w:r>
        <w:rPr>
          <w:rFonts w:hint="eastAsia"/>
          <w:color w:val="000000" w:themeColor="text1"/>
          <w14:textFill>
            <w14:solidFill>
              <w14:schemeClr w14:val="tx1"/>
            </w14:solidFill>
          </w14:textFill>
        </w:rPr>
        <w:t>能源种类为柴油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水、电，</w:t>
      </w:r>
      <w:r>
        <w:rPr>
          <w:rFonts w:hint="eastAsia"/>
          <w:color w:val="000000" w:themeColor="text1"/>
          <w:lang w:eastAsia="zh-CN"/>
          <w14:textFill>
            <w14:solidFill>
              <w14:schemeClr w14:val="tx1"/>
            </w14:solidFill>
          </w14:textFill>
        </w:rPr>
        <w:t>主要用于施工机械开挖基础以及土方运输的燃油消耗，其计量器具为工程机械的油量表；</w:t>
      </w:r>
      <w:r>
        <w:rPr>
          <w:rFonts w:hint="eastAsia"/>
          <w:color w:val="000000" w:themeColor="text1"/>
          <w14:textFill>
            <w14:solidFill>
              <w14:schemeClr w14:val="tx1"/>
            </w14:solidFill>
          </w14:textFill>
        </w:rPr>
        <w:t>施工期用水主要为施工人员生活用水、施工用水等；施工期用电主要为施工</w:t>
      </w:r>
      <w:r>
        <w:rPr>
          <w:rFonts w:hint="eastAsia"/>
          <w:color w:val="000000" w:themeColor="text1"/>
          <w:lang w:eastAsia="zh-CN"/>
          <w14:textFill>
            <w14:solidFill>
              <w14:schemeClr w14:val="tx1"/>
            </w14:solidFill>
          </w14:textFill>
        </w:rPr>
        <w:t>和生活</w:t>
      </w:r>
      <w:r>
        <w:rPr>
          <w:rFonts w:hint="eastAsia"/>
          <w:color w:val="000000" w:themeColor="text1"/>
          <w14:textFill>
            <w14:solidFill>
              <w14:schemeClr w14:val="tx1"/>
            </w14:solidFill>
          </w14:textFill>
        </w:rPr>
        <w:t>用电。</w:t>
      </w:r>
    </w:p>
    <w:bookmarkEnd w:id="185"/>
    <w:bookmarkEnd w:id="186"/>
    <w:bookmarkEnd w:id="187"/>
    <w:bookmarkEnd w:id="188"/>
    <w:bookmarkEnd w:id="189"/>
    <w:p>
      <w:pPr>
        <w:pStyle w:val="3"/>
        <w:spacing w:before="192" w:after="216"/>
        <w:rPr>
          <w:rFonts w:hint="eastAsia"/>
          <w:color w:val="000000" w:themeColor="text1"/>
          <w:highlight w:val="none"/>
          <w14:textFill>
            <w14:solidFill>
              <w14:schemeClr w14:val="tx1"/>
            </w14:solidFill>
          </w14:textFill>
        </w:rPr>
      </w:pPr>
      <w:bookmarkStart w:id="205" w:name="_Toc5676"/>
      <w:bookmarkStart w:id="206" w:name="_Toc16893"/>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val="zh-CN"/>
          <w14:textFill>
            <w14:solidFill>
              <w14:schemeClr w14:val="tx1"/>
            </w14:solidFill>
          </w14:textFill>
        </w:rPr>
        <w:t>节能</w:t>
      </w:r>
      <w:r>
        <w:rPr>
          <w:rFonts w:hint="eastAsia"/>
          <w:color w:val="000000" w:themeColor="text1"/>
          <w:highlight w:val="none"/>
          <w14:textFill>
            <w14:solidFill>
              <w14:schemeClr w14:val="tx1"/>
            </w14:solidFill>
          </w14:textFill>
        </w:rPr>
        <w:t>措施</w:t>
      </w:r>
      <w:bookmarkEnd w:id="205"/>
      <w:bookmarkEnd w:id="206"/>
    </w:p>
    <w:p>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8.4.1电气节能</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采用高效节能的照明光源稀土三基色荧光灯，配电子镇流器。</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val="en-US" w:eastAsia="zh-CN"/>
          <w14:textFill>
            <w14:solidFill>
              <w14:schemeClr w14:val="tx1"/>
            </w14:solidFill>
          </w14:textFill>
        </w:rPr>
        <w:t>严格按照《建筑照明设计标准》（GB 50034-2013）控制单位功率密度值。</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灯光控制方面，利用自然光和人工照明相结合的方式，分区、分组控制。</w:t>
      </w:r>
    </w:p>
    <w:p>
      <w:pPr>
        <w:bidi w:val="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电缆电线截面积选用方面，进行计算分析，选择合适的截面，减小线路损失。</w:t>
      </w:r>
    </w:p>
    <w:p>
      <w:pPr>
        <w:pStyle w:val="4"/>
        <w:bidi w:val="0"/>
        <w:rPr>
          <w:rFonts w:hint="eastAsia" w:ascii="方正大标宋简体" w:hAnsi="方正大标宋简体" w:eastAsia="方正大标宋简体" w:cs="方正大标宋简体"/>
          <w:b w:val="0"/>
          <w:bCs w:val="0"/>
          <w:color w:val="000000" w:themeColor="text1"/>
          <w:kern w:val="2"/>
          <w:sz w:val="30"/>
          <w:szCs w:val="30"/>
          <w:lang w:val="en-US" w:eastAsia="zh-CN"/>
          <w14:textFill>
            <w14:solidFill>
              <w14:schemeClr w14:val="tx1"/>
            </w14:solidFill>
          </w14:textFill>
        </w:rPr>
      </w:pPr>
      <w:r>
        <w:rPr>
          <w:rFonts w:hint="eastAsia" w:ascii="方正大标宋简体" w:hAnsi="方正大标宋简体" w:eastAsia="方正大标宋简体" w:cs="方正大标宋简体"/>
          <w:b w:val="0"/>
          <w:bCs w:val="0"/>
          <w:color w:val="000000" w:themeColor="text1"/>
          <w:kern w:val="2"/>
          <w:sz w:val="30"/>
          <w:szCs w:val="30"/>
          <w:lang w:val="en-US" w:eastAsia="zh-CN"/>
          <w14:textFill>
            <w14:solidFill>
              <w14:schemeClr w14:val="tx1"/>
            </w14:solidFill>
          </w14:textFill>
        </w:rPr>
        <w:t>8.4.</w:t>
      </w:r>
      <w:r>
        <w:rPr>
          <w:rFonts w:hint="eastAsia" w:cs="方正大标宋简体"/>
          <w:b w:val="0"/>
          <w:bCs w:val="0"/>
          <w:color w:val="000000" w:themeColor="text1"/>
          <w:kern w:val="2"/>
          <w:sz w:val="30"/>
          <w:szCs w:val="30"/>
          <w:lang w:val="en-US" w:eastAsia="zh-CN"/>
          <w14:textFill>
            <w14:solidFill>
              <w14:schemeClr w14:val="tx1"/>
            </w14:solidFill>
          </w14:textFill>
        </w:rPr>
        <w:t>2</w:t>
      </w:r>
      <w:r>
        <w:rPr>
          <w:rFonts w:hint="eastAsia" w:ascii="方正大标宋简体" w:hAnsi="方正大标宋简体" w:eastAsia="方正大标宋简体" w:cs="方正大标宋简体"/>
          <w:b w:val="0"/>
          <w:bCs w:val="0"/>
          <w:color w:val="000000" w:themeColor="text1"/>
          <w:kern w:val="2"/>
          <w:sz w:val="30"/>
          <w:szCs w:val="30"/>
          <w:lang w:val="en-US" w:eastAsia="zh-CN"/>
          <w14:textFill>
            <w14:solidFill>
              <w14:schemeClr w14:val="tx1"/>
            </w14:solidFill>
          </w14:textFill>
        </w:rPr>
        <w:t>节水措施</w:t>
      </w:r>
    </w:p>
    <w:p>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1）选用符合《节水型生活用水器具》（CJ/T 164-2014）标准的节水型卫生洁具、冲洗阀。公共卫生间采用感应式水嘴和感应式小便器冲洗阀。</w:t>
      </w:r>
    </w:p>
    <w:p>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2）合理配置管道直径、控制流速，选用低阻力管材、阀门，降低系统运行能耗。</w:t>
      </w:r>
    </w:p>
    <w:p>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3）充分利用市政给水压力，节约能耗。</w:t>
      </w:r>
    </w:p>
    <w:p>
      <w:pPr>
        <w:bidi w:val="0"/>
        <w:rPr>
          <w:rFonts w:hint="eastAsia"/>
          <w:color w:val="000000" w:themeColor="text1"/>
          <w:lang w:val="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4）各用水点均设水表计量，以加强用户的节水意识。</w:t>
      </w:r>
    </w:p>
    <w:p>
      <w:pPr>
        <w:bidi w:val="0"/>
        <w:rPr>
          <w:rFonts w:hint="eastAsia"/>
          <w:color w:val="000000" w:themeColor="text1"/>
          <w:lang w:val="zh-CN" w:eastAsia="zh-CN"/>
          <w14:textFill>
            <w14:solidFill>
              <w14:schemeClr w14:val="tx1"/>
            </w14:solidFill>
          </w14:textFill>
        </w:rPr>
      </w:pPr>
    </w:p>
    <w:p>
      <w:pPr>
        <w:pStyle w:val="2"/>
        <w:rPr>
          <w:color w:val="000000" w:themeColor="text1"/>
          <w:highlight w:val="none"/>
          <w14:textFill>
            <w14:solidFill>
              <w14:schemeClr w14:val="tx1"/>
            </w14:solidFill>
          </w14:textFill>
        </w:rPr>
      </w:pPr>
      <w:bookmarkStart w:id="207" w:name="_Toc4319"/>
      <w:bookmarkStart w:id="208" w:name="_Toc29646"/>
      <w:r>
        <w:rPr>
          <w:color w:val="000000" w:themeColor="text1"/>
          <w:highlight w:val="none"/>
          <w14:textFill>
            <w14:solidFill>
              <w14:schemeClr w14:val="tx1"/>
            </w14:solidFill>
          </w14:textFill>
        </w:rPr>
        <w:t>第</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章  环境保护</w:t>
      </w:r>
      <w:bookmarkEnd w:id="207"/>
      <w:bookmarkEnd w:id="208"/>
    </w:p>
    <w:p>
      <w:pPr>
        <w:pStyle w:val="3"/>
        <w:spacing w:before="192" w:after="216"/>
        <w:rPr>
          <w:color w:val="000000" w:themeColor="text1"/>
          <w:highlight w:val="none"/>
          <w14:textFill>
            <w14:solidFill>
              <w14:schemeClr w14:val="tx1"/>
            </w14:solidFill>
          </w14:textFill>
        </w:rPr>
      </w:pPr>
      <w:bookmarkStart w:id="209" w:name="_Toc430764262"/>
      <w:bookmarkStart w:id="210" w:name="_Toc440880203"/>
      <w:bookmarkStart w:id="211" w:name="_Toc429317053"/>
      <w:bookmarkStart w:id="212" w:name="_Toc23926"/>
      <w:bookmarkStart w:id="213" w:name="_Toc21102"/>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.1编制依据</w:t>
      </w:r>
      <w:bookmarkEnd w:id="209"/>
      <w:bookmarkEnd w:id="210"/>
      <w:bookmarkEnd w:id="211"/>
      <w:r>
        <w:rPr>
          <w:color w:val="000000" w:themeColor="text1"/>
          <w:highlight w:val="none"/>
          <w14:textFill>
            <w14:solidFill>
              <w14:schemeClr w14:val="tx1"/>
            </w14:solidFill>
          </w14:textFill>
        </w:rPr>
        <w:t>和标准</w:t>
      </w:r>
      <w:bookmarkEnd w:id="212"/>
      <w:bookmarkEnd w:id="213"/>
    </w:p>
    <w:p>
      <w:pPr>
        <w:pStyle w:val="4"/>
        <w:ind w:firstLine="600"/>
        <w:rPr>
          <w:color w:val="000000" w:themeColor="text1"/>
          <w:highlight w:val="none"/>
          <w14:textFill>
            <w14:solidFill>
              <w14:schemeClr w14:val="tx1"/>
            </w14:solidFill>
          </w14:textFill>
        </w:rPr>
      </w:pPr>
      <w:bookmarkStart w:id="214" w:name="_Toc24715"/>
      <w:bookmarkStart w:id="215" w:name="_Toc420568964"/>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.1.1法律法规</w:t>
      </w:r>
    </w:p>
    <w:p>
      <w:pPr>
        <w:ind w:firstLine="560"/>
        <w:rPr>
          <w:color w:val="000000" w:themeColor="text1"/>
          <w:highlight w:val="none"/>
          <w14:textFill>
            <w14:solidFill>
              <w14:schemeClr w14:val="tx1"/>
            </w14:solidFill>
          </w14:textFill>
        </w:rPr>
      </w:pPr>
      <w:bookmarkStart w:id="216" w:name="_Toc459361626"/>
      <w:r>
        <w:rPr>
          <w:rFonts w:hint="eastAsia"/>
          <w:color w:val="000000" w:themeColor="text1"/>
          <w:highlight w:val="none"/>
          <w14:textFill>
            <w14:solidFill>
              <w14:schemeClr w14:val="tx1"/>
            </w14:solidFill>
          </w14:textFill>
        </w:rPr>
        <w:t>（1）《中华人民共和国环境保护法》（2015年）；</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（2）《中华人民共和国自然保护区条例》（2016年）；</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（3）《中华人民共和国噪声污染防治法》（1996年）；</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（4）《建设项目环境保护管理条例》</w:t>
      </w:r>
      <w:r>
        <w:rPr>
          <w:rFonts w:hint="eastAsia"/>
          <w:color w:val="000000" w:themeColor="text1"/>
          <w:szCs w:val="28"/>
          <w:highlight w:val="none"/>
          <w14:textFill>
            <w14:solidFill>
              <w14:schemeClr w14:val="tx1"/>
            </w14:solidFill>
          </w14:textFill>
        </w:rPr>
        <w:t>（国令第682号）</w:t>
      </w:r>
      <w:r>
        <w:rPr>
          <w:rFonts w:hint="eastAsia"/>
          <w:color w:val="000000" w:themeColor="text1"/>
          <w:highlight w:val="none"/>
          <w14:textFill>
            <w14:solidFill>
              <w14:schemeClr w14:val="tx1"/>
            </w14:solidFill>
          </w14:textFill>
        </w:rPr>
        <w:t>；</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（5）《中华人民共和国大气污染防治法》（2000年4月29日）；</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（6）《中华人民共和国水污染防治法》（2008年6月1日）；</w:t>
      </w:r>
    </w:p>
    <w:p>
      <w:pPr>
        <w:ind w:firstLine="560"/>
        <w:rPr>
          <w:rFonts w:hint="eastAsia" w:eastAsia="仿宋"/>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（7）《中华人民共和国固体废物污染环境防治法》（2015年修正）</w:t>
      </w:r>
      <w:r>
        <w:rPr>
          <w:rFonts w:hint="eastAsia"/>
          <w:color w:val="000000" w:themeColor="text1"/>
          <w:highlight w:val="none"/>
          <w:lang w:eastAsia="zh-CN"/>
          <w14:textFill>
            <w14:solidFill>
              <w14:schemeClr w14:val="tx1"/>
            </w14:solidFill>
          </w14:textFill>
        </w:rPr>
        <w:t>。</w:t>
      </w:r>
    </w:p>
    <w:p>
      <w:pPr>
        <w:pStyle w:val="4"/>
        <w:ind w:firstLine="6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.1.2标准</w:t>
      </w:r>
      <w:bookmarkEnd w:id="216"/>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（1）《环境空气质量标准》（GB 3095-2012）；</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（2）《大气污染物综合排放标准》（GB 16297-1996）;</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（3）《工业企业厂界环境噪声排放标准》（GB 12348-2008）;</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（4）《污水综合排放标准》（GB 8978-1996）；</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（5）《建筑施工场界环境噪声排放标准》（GB 12523-2011）；</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（6）《地表水环境质量标准》（GB 3838-2002）；</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（7）《声环境质量标准》（GB 3096-2008）；</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（8）《土壤环境质量标准》（GB 15618-2008）；</w:t>
      </w:r>
    </w:p>
    <w:p>
      <w:pPr>
        <w:ind w:firstLine="560"/>
        <w:rPr>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（9）《水功能区划分标准》（GB/T 50594-2010）；</w:t>
      </w:r>
    </w:p>
    <w:p>
      <w:pPr>
        <w:ind w:firstLine="560"/>
        <w:rPr>
          <w:rFonts w:hint="eastAsia" w:eastAsia="仿宋"/>
          <w:color w:val="000000" w:themeColor="text1"/>
          <w:szCs w:val="28"/>
          <w:highlight w:val="none"/>
          <w:lang w:eastAsia="zh-CN"/>
          <w14:textFill>
            <w14:solidFill>
              <w14:schemeClr w14:val="tx1"/>
            </w14:solidFill>
          </w14:textFill>
        </w:rPr>
      </w:pPr>
      <w:r>
        <w:rPr>
          <w:rFonts w:hint="eastAsia"/>
          <w:color w:val="000000" w:themeColor="text1"/>
          <w:szCs w:val="28"/>
          <w:highlight w:val="none"/>
          <w14:textFill>
            <w14:solidFill>
              <w14:schemeClr w14:val="tx1"/>
            </w14:solidFill>
          </w14:textFill>
        </w:rPr>
        <w:t>（10）《声环境功能区划分技术规范》（GB/T 15190-2014）</w:t>
      </w:r>
      <w:r>
        <w:rPr>
          <w:rFonts w:hint="eastAsia"/>
          <w:color w:val="000000" w:themeColor="text1"/>
          <w:szCs w:val="28"/>
          <w:highlight w:val="none"/>
          <w:lang w:eastAsia="zh-CN"/>
          <w14:textFill>
            <w14:solidFill>
              <w14:schemeClr w14:val="tx1"/>
            </w14:solidFill>
          </w14:textFill>
        </w:rPr>
        <w:t>。</w:t>
      </w:r>
    </w:p>
    <w:p>
      <w:pPr>
        <w:pStyle w:val="3"/>
        <w:spacing w:before="192" w:after="216"/>
        <w:rPr>
          <w:color w:val="000000" w:themeColor="text1"/>
          <w:highlight w:val="none"/>
          <w14:textFill>
            <w14:solidFill>
              <w14:schemeClr w14:val="tx1"/>
            </w14:solidFill>
          </w14:textFill>
        </w:rPr>
      </w:pPr>
      <w:bookmarkStart w:id="217" w:name="_Toc424121165"/>
      <w:bookmarkStart w:id="218" w:name="_Toc358898270"/>
      <w:bookmarkStart w:id="219" w:name="_Toc452039899"/>
      <w:bookmarkStart w:id="220" w:name="_Toc20569"/>
      <w:bookmarkStart w:id="221" w:name="_Toc16381"/>
      <w:bookmarkStart w:id="222" w:name="_Toc456707682"/>
      <w:bookmarkStart w:id="223" w:name="_Toc452645718"/>
      <w:bookmarkStart w:id="224" w:name="_Toc15892"/>
      <w:bookmarkStart w:id="225" w:name="_Toc21508"/>
      <w:bookmarkStart w:id="226" w:name="_Toc8008"/>
      <w:bookmarkStart w:id="227" w:name="_Toc290283229"/>
      <w:bookmarkStart w:id="228" w:name="_Toc15699"/>
      <w:bookmarkStart w:id="229" w:name="_Toc15826"/>
      <w:bookmarkStart w:id="230" w:name="_Toc366084667"/>
      <w:bookmarkStart w:id="231" w:name="_Toc286667495"/>
      <w:bookmarkStart w:id="232" w:name="_Toc234634937"/>
      <w:bookmarkStart w:id="233" w:name="_Toc440880208"/>
      <w:bookmarkStart w:id="234" w:name="_Toc424121168"/>
      <w:bookmarkStart w:id="235" w:name="_Toc235260114"/>
      <w:bookmarkStart w:id="236" w:name="_Toc13595"/>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建设地区环境现状</w:t>
      </w:r>
      <w:bookmarkEnd w:id="217"/>
      <w:bookmarkEnd w:id="218"/>
      <w:bookmarkEnd w:id="219"/>
      <w:bookmarkEnd w:id="220"/>
      <w:bookmarkEnd w:id="221"/>
      <w:bookmarkEnd w:id="222"/>
      <w:bookmarkEnd w:id="223"/>
      <w:bookmarkEnd w:id="224"/>
      <w:bookmarkEnd w:id="225"/>
    </w:p>
    <w:p>
      <w:pPr>
        <w:ind w:firstLine="560"/>
        <w:rPr>
          <w:color w:val="000000" w:themeColor="text1"/>
          <w:szCs w:val="28"/>
          <w:highlight w:val="none"/>
          <w14:textFill>
            <w14:solidFill>
              <w14:schemeClr w14:val="tx1"/>
            </w14:solidFill>
          </w14:textFill>
        </w:rPr>
      </w:pPr>
      <w:r>
        <w:rPr>
          <w:rFonts w:ascii="Times New Roman" w:hAnsi="Times New Roman" w:cs="Times New Roman"/>
          <w:color w:val="000000" w:themeColor="text1"/>
          <w:szCs w:val="28"/>
          <w:highlight w:val="none"/>
          <w14:textFill>
            <w14:solidFill>
              <w14:schemeClr w14:val="tx1"/>
            </w14:solidFill>
          </w14:textFill>
        </w:rPr>
        <w:t>本项目建设地点位于</w:t>
      </w:r>
      <w:r>
        <w:rPr>
          <w:rFonts w:hint="eastAsia"/>
          <w:bCs/>
          <w:color w:val="000000" w:themeColor="text1"/>
          <w:szCs w:val="28"/>
          <w:highlight w:val="none"/>
          <w14:textFill>
            <w14:solidFill>
              <w14:schemeClr w14:val="tx1"/>
            </w14:solidFill>
          </w14:textFill>
        </w:rPr>
        <w:t>囊谦县扶贫产业园</w:t>
      </w:r>
      <w:r>
        <w:rPr>
          <w:rFonts w:hint="eastAsia"/>
          <w:bCs/>
          <w:color w:val="000000" w:themeColor="text1"/>
          <w:szCs w:val="28"/>
          <w:highlight w:val="none"/>
          <w:lang w:eastAsia="zh-CN"/>
          <w14:textFill>
            <w14:solidFill>
              <w14:schemeClr w14:val="tx1"/>
            </w14:solidFill>
          </w14:textFill>
        </w:rPr>
        <w:t>内</w:t>
      </w:r>
      <w:r>
        <w:rPr>
          <w:rFonts w:hint="eastAsia"/>
          <w:bCs/>
          <w:color w:val="000000" w:themeColor="text1"/>
          <w:szCs w:val="28"/>
          <w:highlight w:val="none"/>
          <w14:textFill>
            <w14:solidFill>
              <w14:schemeClr w14:val="tx1"/>
            </w14:solidFill>
          </w14:textFill>
        </w:rPr>
        <w:t>，214国道以北</w:t>
      </w:r>
      <w:r>
        <w:rPr>
          <w:rFonts w:hint="eastAsia"/>
          <w:bCs/>
          <w:color w:val="000000" w:themeColor="text1"/>
          <w:szCs w:val="28"/>
          <w:highlight w:val="none"/>
          <w:lang w:eastAsia="zh-CN"/>
          <w14:textFill>
            <w14:solidFill>
              <w14:schemeClr w14:val="tx1"/>
            </w14:solidFill>
          </w14:textFill>
        </w:rPr>
        <w:t>，</w:t>
      </w:r>
      <w:r>
        <w:rPr>
          <w:rFonts w:hint="eastAsia"/>
          <w:color w:val="000000" w:themeColor="text1"/>
          <w:szCs w:val="28"/>
          <w:highlight w:val="none"/>
          <w14:textFill>
            <w14:solidFill>
              <w14:schemeClr w14:val="tx1"/>
            </w14:solidFill>
          </w14:textFill>
        </w:rPr>
        <w:t>建设地区的环境属非敏感区。</w:t>
      </w:r>
    </w:p>
    <w:p>
      <w:pPr>
        <w:pStyle w:val="3"/>
        <w:bidi w:val="0"/>
        <w:rPr>
          <w:rFonts w:hint="default"/>
          <w:color w:val="000000" w:themeColor="text1"/>
          <w:lang w:val="en-US" w:eastAsia="zh-CN"/>
          <w14:textFill>
            <w14:solidFill>
              <w14:schemeClr w14:val="tx1"/>
            </w14:solidFill>
          </w14:textFill>
        </w:rPr>
      </w:pPr>
      <w:bookmarkStart w:id="237" w:name="_Toc3389"/>
      <w:bookmarkStart w:id="238" w:name="_Toc15840"/>
      <w:bookmarkStart w:id="239" w:name="_Toc8334"/>
      <w:bookmarkStart w:id="240" w:name="_Toc6301"/>
      <w:bookmarkStart w:id="241" w:name="_Toc19706073"/>
      <w:bookmarkStart w:id="242" w:name="_Toc21588"/>
      <w:bookmarkStart w:id="243" w:name="_Toc24698"/>
      <w:bookmarkStart w:id="244" w:name="_Toc1423"/>
      <w:bookmarkStart w:id="245" w:name="_Toc17115"/>
      <w:bookmarkStart w:id="246" w:name="_Toc18156"/>
      <w:bookmarkStart w:id="247" w:name="_Toc18890"/>
      <w:bookmarkStart w:id="248" w:name="_Toc435196604"/>
      <w:bookmarkStart w:id="249" w:name="_Toc411677362"/>
      <w:bookmarkStart w:id="250" w:name="_Toc452039900"/>
      <w:bookmarkStart w:id="251" w:name="_Toc452645719"/>
      <w:bookmarkStart w:id="252" w:name="_Toc456707683"/>
      <w:bookmarkStart w:id="253" w:name="_Toc26709"/>
      <w:bookmarkStart w:id="254" w:name="_Toc6107"/>
      <w:bookmarkStart w:id="255" w:name="_Toc424121166"/>
      <w:bookmarkStart w:id="256" w:name="_Toc7546"/>
      <w:r>
        <w:rPr>
          <w:rFonts w:hint="eastAsia"/>
          <w:color w:val="000000" w:themeColor="text1"/>
          <w:lang w:val="en-US" w:eastAsia="zh-CN"/>
          <w14:textFill>
            <w14:solidFill>
              <w14:schemeClr w14:val="tx1"/>
            </w14:solidFill>
          </w14:textFill>
        </w:rPr>
        <w:t>9.</w:t>
      </w:r>
      <w:bookmarkEnd w:id="237"/>
      <w:bookmarkEnd w:id="238"/>
      <w:bookmarkEnd w:id="239"/>
      <w:bookmarkEnd w:id="240"/>
      <w:bookmarkEnd w:id="241"/>
      <w:bookmarkEnd w:id="242"/>
      <w:bookmarkEnd w:id="243"/>
      <w:bookmarkEnd w:id="244"/>
      <w:bookmarkEnd w:id="245"/>
      <w:r>
        <w:rPr>
          <w:rFonts w:hint="eastAsia"/>
          <w:color w:val="000000" w:themeColor="text1"/>
          <w:lang w:val="en-US" w:eastAsia="zh-CN"/>
          <w14:textFill>
            <w14:solidFill>
              <w14:schemeClr w14:val="tx1"/>
            </w14:solidFill>
          </w14:textFill>
        </w:rPr>
        <w:t>3环境影响预测</w:t>
      </w:r>
      <w:bookmarkEnd w:id="246"/>
      <w:bookmarkEnd w:id="247"/>
    </w:p>
    <w:bookmarkEnd w:id="248"/>
    <w:bookmarkEnd w:id="249"/>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eastAsia="zh-CN"/>
          <w14:textFill>
            <w14:solidFill>
              <w14:schemeClr w14:val="tx1"/>
            </w14:solidFill>
          </w14:textFill>
        </w:rPr>
        <w:t>.1施工期</w:t>
      </w:r>
    </w:p>
    <w:p>
      <w:p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（1）废气污染：</w:t>
      </w:r>
      <w:r>
        <w:rPr>
          <w:color w:val="000000" w:themeColor="text1"/>
          <w14:textFill>
            <w14:solidFill>
              <w14:schemeClr w14:val="tx1"/>
            </w14:solidFill>
          </w14:textFill>
        </w:rPr>
        <w:t>场地平整、开挖、建筑施工以及建材（土沙石料）运输、</w:t>
      </w:r>
      <w:r>
        <w:rPr>
          <w:rFonts w:hint="eastAsia"/>
          <w:color w:val="000000" w:themeColor="text1"/>
          <w14:textFill>
            <w14:solidFill>
              <w14:schemeClr w14:val="tx1"/>
            </w14:solidFill>
          </w14:textFill>
        </w:rPr>
        <w:t>堆放产生扬尘；建筑垃圾露天堆放将产生二次扬尘</w:t>
      </w:r>
      <w:r>
        <w:rPr>
          <w:rFonts w:hint="eastAsia"/>
          <w:color w:val="000000" w:themeColor="text1"/>
          <w:lang w:eastAsia="zh-CN"/>
          <w14:textFill>
            <w14:solidFill>
              <w14:schemeClr w14:val="tx1"/>
            </w14:solidFill>
          </w14:textFill>
        </w:rPr>
        <w:t>。</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（2）废水污染：施工过程中施工人员产生的生活污水及施工现场、材料现场、施工机械运行排放的含油废水，其主要污染物为SS、BOD、COD、石油类等，采取统一收集交由有资质部门处理。</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（3）噪声污染：建筑施工可产生机械噪声。施工期噪声来源于土方施工、施工中所用推土机、运输车辆等产生的噪声。</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（4）固体废弃物污染：建筑施工中产生的过量的挖方、废弃砖石、木材和</w:t>
      </w:r>
      <w:r>
        <w:rPr>
          <w:rFonts w:hint="eastAsia"/>
          <w:color w:val="000000" w:themeColor="text1"/>
          <w:lang w:eastAsia="zh-CN"/>
          <w14:textFill>
            <w14:solidFill>
              <w14:schemeClr w14:val="tx1"/>
            </w14:solidFill>
          </w14:textFill>
        </w:rPr>
        <w:t>其他</w:t>
      </w:r>
      <w:r>
        <w:rPr>
          <w:rFonts w:hint="eastAsia"/>
          <w:color w:val="000000" w:themeColor="text1"/>
          <w14:textFill>
            <w14:solidFill>
              <w14:schemeClr w14:val="tx1"/>
            </w14:solidFill>
          </w14:textFill>
        </w:rPr>
        <w:t>建筑材料等建筑垃圾以及施工人员的生活垃圾。施工期间主要固体废弃物源于建筑垃圾、软土及少部分施工人员生活垃圾。施工期间日均施工人员按</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人计，施工人员生活垃圾产生量按每人每日0.5kg计，施工期为</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个月，则预计施工期共产生生活垃圾</w:t>
      </w:r>
      <w:r>
        <w:rPr>
          <w:rFonts w:hint="eastAsia"/>
          <w:color w:val="000000" w:themeColor="text1"/>
          <w:lang w:val="en-US" w:eastAsia="zh-CN"/>
          <w14:textFill>
            <w14:solidFill>
              <w14:schemeClr w14:val="tx1"/>
            </w14:solidFill>
          </w14:textFill>
        </w:rPr>
        <w:t>1.05</w:t>
      </w:r>
      <w:r>
        <w:rPr>
          <w:rFonts w:hint="eastAsia"/>
          <w:color w:val="000000" w:themeColor="text1"/>
          <w14:textFill>
            <w14:solidFill>
              <w14:schemeClr w14:val="tx1"/>
            </w14:solidFill>
          </w14:textFill>
        </w:rPr>
        <w:t>t。</w:t>
      </w:r>
    </w:p>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val="zh-CN" w:eastAsia="zh-CN"/>
          <w14:textFill>
            <w14:solidFill>
              <w14:schemeClr w14:val="tx1"/>
            </w14:solidFill>
          </w14:textFill>
        </w:rPr>
        <w:t>.2运营期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（1）环境空气影响分析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本项目运营期产生的废气有工艺粉尘、发酵工序气体、恶臭等。</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（2）地表水环境影响分析</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营运期的生产废水</w:t>
      </w:r>
      <w:r>
        <w:rPr>
          <w:rFonts w:hint="eastAsia"/>
          <w:color w:val="000000" w:themeColor="text1"/>
          <w:lang w:eastAsia="zh-CN"/>
          <w14:textFill>
            <w14:solidFill>
              <w14:schemeClr w14:val="tx1"/>
            </w14:solidFill>
          </w14:textFill>
        </w:rPr>
        <w:t>包括</w:t>
      </w:r>
      <w:r>
        <w:rPr>
          <w:rFonts w:hint="default"/>
          <w:color w:val="000000" w:themeColor="text1"/>
          <w14:textFill>
            <w14:solidFill>
              <w14:schemeClr w14:val="tx1"/>
            </w14:solidFill>
          </w14:textFill>
        </w:rPr>
        <w:t>CIP 清洗系统废水、啤酒桶半自动清洗废水、车间地面冲洗废水等。</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（3）声环境影响分析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本项目噪声源主要来自各生产设备运转时产生的机械噪声，其噪声源强在75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85dB（A）之间。根据噪声预测结果，项目运营期间厂界噪声均能达到《工业企业厂界环境噪声排放标准》（GB12348-2008）的3类标准要求。</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）固废影响分析</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运营期产生固废主要为布袋除尘器收集到的粉尘、麦糟、酒花糟、废酵母、废硅藻土、废包装物、污泥、废树脂、废化学药剂、生活垃圾。</w:t>
      </w:r>
    </w:p>
    <w:p>
      <w:pPr>
        <w:pStyle w:val="3"/>
        <w:bidi w:val="0"/>
        <w:rPr>
          <w:rFonts w:hint="eastAsia"/>
          <w:color w:val="000000" w:themeColor="text1"/>
          <w:lang w:val="en-US" w:eastAsia="zh-CN"/>
          <w14:textFill>
            <w14:solidFill>
              <w14:schemeClr w14:val="tx1"/>
            </w14:solidFill>
          </w14:textFill>
        </w:rPr>
      </w:pPr>
      <w:bookmarkStart w:id="257" w:name="_Toc32347"/>
      <w:bookmarkStart w:id="258" w:name="_Toc10376"/>
      <w:bookmarkStart w:id="259" w:name="_Toc4193"/>
      <w:bookmarkStart w:id="260" w:name="_Toc10544"/>
      <w:bookmarkStart w:id="261" w:name="_Toc13201"/>
      <w:bookmarkStart w:id="262" w:name="_Toc16400"/>
      <w:bookmarkStart w:id="263" w:name="_Toc19706074"/>
      <w:bookmarkStart w:id="264" w:name="_Toc435196605"/>
      <w:bookmarkStart w:id="265" w:name="_Toc25472"/>
      <w:bookmarkStart w:id="266" w:name="_Toc3012"/>
      <w:bookmarkStart w:id="267" w:name="_Toc10526"/>
      <w:bookmarkStart w:id="268" w:name="_Toc22237"/>
      <w:r>
        <w:rPr>
          <w:rFonts w:hint="eastAsia"/>
          <w:color w:val="000000" w:themeColor="text1"/>
          <w:lang w:val="en-US" w:eastAsia="zh-CN"/>
          <w14:textFill>
            <w14:solidFill>
              <w14:schemeClr w14:val="tx1"/>
            </w14:solidFill>
          </w14:textFill>
        </w:rPr>
        <w:t>9.4环境污染防治措施</w:t>
      </w:r>
      <w:bookmarkEnd w:id="257"/>
      <w:bookmarkEnd w:id="258"/>
      <w:bookmarkEnd w:id="259"/>
      <w:bookmarkEnd w:id="260"/>
      <w:bookmarkEnd w:id="261"/>
      <w:bookmarkEnd w:id="262"/>
    </w:p>
    <w:bookmarkEnd w:id="263"/>
    <w:bookmarkEnd w:id="264"/>
    <w:bookmarkEnd w:id="265"/>
    <w:bookmarkEnd w:id="266"/>
    <w:bookmarkEnd w:id="267"/>
    <w:bookmarkEnd w:id="268"/>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val="zh-CN" w:eastAsia="zh-CN"/>
          <w14:textFill>
            <w14:solidFill>
              <w14:schemeClr w14:val="tx1"/>
            </w14:solidFill>
          </w14:textFill>
        </w:rPr>
        <w:t>.1施工期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（1）扬尘及废气</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1）对于建设施工阶段的车辆和机械扬尘，采取洒水湿法抑尘。利用洒水车及时对施工现场和进出场道路洒水，保持地面湿度。</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2）避免大风天气进行水泥、沙等的装卸作业，对水泥类物资尽可能不要露天堆放，即使必须露天堆放，也要注意加盖防雨布，减少大风造成的施工扬尘。</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3）建议对离开工地的车辆进行清理，通过及时清扫，对施工车辆及时清洗，禁止超载，防止洒落等有效措施来保持场地路面的清洁。</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除此以外，为了减少施工扬尘，施工中还应注意减少表面裸土，用商品混凝土代替现场搅拌混凝土。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（2）噪声</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因建设地点</w:t>
      </w:r>
      <w:r>
        <w:rPr>
          <w:rFonts w:hint="eastAsia"/>
          <w:color w:val="000000" w:themeColor="text1"/>
          <w:lang w:eastAsia="zh-CN"/>
          <w14:textFill>
            <w14:solidFill>
              <w14:schemeClr w14:val="tx1"/>
            </w14:solidFill>
          </w14:textFill>
        </w:rPr>
        <w:t>在</w:t>
      </w:r>
      <w:r>
        <w:rPr>
          <w:rFonts w:hint="eastAsia"/>
          <w:color w:val="000000" w:themeColor="text1"/>
          <w14:textFill>
            <w14:solidFill>
              <w14:schemeClr w14:val="tx1"/>
            </w14:solidFill>
          </w14:textFill>
        </w:rPr>
        <w:t>囊谦县扶贫产业园内</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噪声会对周边居民生活产生影响，提出以下减缓噪声对环境影响的措施：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1）其控制应对产生高噪声设备尽量安排在白天使用，深夜（</w:t>
      </w:r>
      <w:r>
        <w:rPr>
          <w:color w:val="000000" w:themeColor="text1"/>
          <w14:textFill>
            <w14:solidFill>
              <w14:schemeClr w14:val="tx1"/>
            </w14:solidFill>
          </w14:textFill>
        </w:rPr>
        <w:t>22:00-6:00</w:t>
      </w:r>
      <w:r>
        <w:rPr>
          <w:rFonts w:hint="eastAsia"/>
          <w:color w:val="000000" w:themeColor="text1"/>
          <w14:textFill>
            <w14:solidFill>
              <w14:schemeClr w14:val="tx1"/>
            </w14:solidFill>
          </w14:textFill>
        </w:rPr>
        <w:t>）不得使用强噪声设备。汽车晚间运输尽量用灯光示警，禁鸣喇叭。此外，应对产生噪声的施工设备加强维护和维修工作。</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2）从规范施工秩序着手，合理安排施工时间，合理布局施工场地，选用良好的施工设备，降低设备声级，降低人为的噪声。</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3）采用局部吸声、隔声降噪技术</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对各施工期间噪声较为突出且又难以对声源进行降噪的设备装置，应采取临时围障措施，</w:t>
      </w:r>
      <w:r>
        <w:rPr>
          <w:rFonts w:hint="eastAsia"/>
          <w:color w:val="000000" w:themeColor="text1"/>
          <w:lang w:eastAsia="zh-CN"/>
          <w14:textFill>
            <w14:solidFill>
              <w14:schemeClr w14:val="tx1"/>
            </w14:solidFill>
          </w14:textFill>
        </w:rPr>
        <w:t>对</w:t>
      </w:r>
      <w:r>
        <w:rPr>
          <w:rFonts w:hint="eastAsia"/>
          <w:color w:val="000000" w:themeColor="text1"/>
          <w14:textFill>
            <w14:solidFill>
              <w14:schemeClr w14:val="tx1"/>
            </w14:solidFill>
          </w14:textFill>
        </w:rPr>
        <w:t>围障最好敷以吸声材料，以次达到降噪效果。</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采取以上措施，可大大减轻对操作人员及外界环境的影响。</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（3）废水</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建议施工人员生活尽量利用周围现有的生活设施。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（4）固体废弃物</w:t>
      </w:r>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生活垃圾</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原材料包装物</w:t>
      </w:r>
      <w:r>
        <w:rPr>
          <w:rFonts w:hint="eastAsia"/>
          <w:color w:val="000000" w:themeColor="text1"/>
          <w:lang w:eastAsia="zh-CN"/>
          <w14:textFill>
            <w14:solidFill>
              <w14:schemeClr w14:val="tx1"/>
            </w14:solidFill>
          </w14:textFill>
        </w:rPr>
        <w:t>等</w:t>
      </w:r>
      <w:r>
        <w:rPr>
          <w:rFonts w:hint="eastAsia"/>
          <w:color w:val="000000" w:themeColor="text1"/>
          <w14:textFill>
            <w14:solidFill>
              <w14:schemeClr w14:val="tx1"/>
            </w14:solidFill>
          </w14:textFill>
        </w:rPr>
        <w:t>集中收集，垃圾中能回收利用的尽量回收再利用，</w:t>
      </w:r>
      <w:r>
        <w:rPr>
          <w:rFonts w:hint="eastAsia"/>
          <w:color w:val="000000" w:themeColor="text1"/>
          <w:lang w:eastAsia="zh-CN"/>
          <w14:textFill>
            <w14:solidFill>
              <w14:schemeClr w14:val="tx1"/>
            </w14:solidFill>
          </w14:textFill>
        </w:rPr>
        <w:t>其余的</w:t>
      </w:r>
      <w:r>
        <w:rPr>
          <w:rFonts w:hint="eastAsia"/>
          <w:color w:val="000000" w:themeColor="text1"/>
          <w14:textFill>
            <w14:solidFill>
              <w14:schemeClr w14:val="tx1"/>
            </w14:solidFill>
          </w14:textFill>
        </w:rPr>
        <w:t>一起清运到垃圾场进行处置。</w:t>
      </w:r>
    </w:p>
    <w:p>
      <w:pPr>
        <w:pStyle w:val="4"/>
        <w:bidi w:val="0"/>
        <w:rPr>
          <w:rFonts w:hint="eastAsia"/>
          <w:color w:val="000000" w:themeColor="text1"/>
          <w:lang w:val="zh-CN"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val="zh-CN" w:eastAsia="zh-CN"/>
          <w14:textFill>
            <w14:solidFill>
              <w14:schemeClr w14:val="tx1"/>
            </w14:solidFill>
          </w14:textFill>
        </w:rPr>
        <w:t>.2运营期</w:t>
      </w:r>
    </w:p>
    <w:p>
      <w:pPr>
        <w:bidi w:val="0"/>
        <w:rPr>
          <w:rFonts w:hint="eastAsia"/>
          <w:color w:val="000000" w:themeColor="text1"/>
          <w14:textFill>
            <w14:solidFill>
              <w14:schemeClr w14:val="tx1"/>
            </w14:solidFill>
          </w14:textFill>
        </w:rPr>
      </w:pPr>
      <w:bookmarkStart w:id="269" w:name="_Toc19706075"/>
      <w:bookmarkStart w:id="270" w:name="_Toc3016"/>
      <w:bookmarkStart w:id="271" w:name="_Toc29013"/>
      <w:r>
        <w:rPr>
          <w:rFonts w:hint="eastAsia"/>
          <w:color w:val="000000" w:themeColor="text1"/>
          <w14:textFill>
            <w14:solidFill>
              <w14:schemeClr w14:val="tx1"/>
            </w14:solidFill>
          </w14:textFill>
        </w:rPr>
        <w:t>（1）大气污染防治措施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本项目运营期产生废气主要包括</w:t>
      </w:r>
      <w:r>
        <w:rPr>
          <w:rFonts w:hint="eastAsia"/>
          <w:color w:val="000000" w:themeColor="text1"/>
          <w:lang w:eastAsia="zh-CN"/>
          <w14:textFill>
            <w14:solidFill>
              <w14:schemeClr w14:val="tx1"/>
            </w14:solidFill>
          </w14:textFill>
        </w:rPr>
        <w:t>二</w:t>
      </w:r>
      <w:r>
        <w:rPr>
          <w:rFonts w:hint="eastAsia"/>
          <w:color w:val="000000" w:themeColor="text1"/>
          <w14:textFill>
            <w14:solidFill>
              <w14:schemeClr w14:val="tx1"/>
            </w14:solidFill>
          </w14:textFill>
        </w:rPr>
        <w:t>类，一是生产车间产生的工艺粉尘，二是污水处理站运行产生的无组织恶臭气体。</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工艺粉尘主要通过在各产尘设备均配布袋除尘器处理，经处理后的废气排放满足《大气污染物综合排放标准》（GB16297-1996）二级标准要求。</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污水处理站恶臭通过对污水站加盖处理，生物滤池除臭手段，加强对污水处理站的运行管理，保证污水处理设施正常运行，对于产生的污泥及时处理后清运，避免在厂区长时间积存，再加上污水处理站周边及厂区边界的绿化，臭气排放能够达到《恶臭污染物排放标准》（GB14554-93）中厂界标准值。</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（2）废水污染治理措施</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①生产废水</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生产废水包括废酒花残液和废酵母残液、CIP系统清洗废水、啤酒桶半自动清洗废水、车间地面冲洗废水、酿造水制备浓水、实验废水。以上生产废水经项目新建处理能力为</w:t>
      </w:r>
      <w:r>
        <w:rPr>
          <w:rFonts w:hint="eastAsia"/>
          <w:color w:val="000000" w:themeColor="text1"/>
          <w:lang w:val="en-US" w:eastAsia="zh-CN"/>
          <w14:textFill>
            <w14:solidFill>
              <w14:schemeClr w14:val="tx1"/>
            </w14:solidFill>
          </w14:textFill>
        </w:rPr>
        <w:t>30m³</w:t>
      </w:r>
      <w:r>
        <w:rPr>
          <w:rFonts w:hint="default"/>
          <w:color w:val="000000" w:themeColor="text1"/>
          <w14:textFill>
            <w14:solidFill>
              <w14:schemeClr w14:val="tx1"/>
            </w14:solidFill>
          </w14:textFill>
        </w:rPr>
        <w:t>/d的一体化污水处理系统（采用“水解酸化+SBR”工艺）处理达到《啤酒工业污染物排放标准》（GB 18921-2005）啤酒企业的预处理标准后，过排入</w:t>
      </w:r>
      <w:r>
        <w:rPr>
          <w:rFonts w:hint="eastAsia"/>
          <w:color w:val="000000" w:themeColor="text1"/>
          <w:lang w:eastAsia="zh-CN"/>
          <w14:textFill>
            <w14:solidFill>
              <w14:schemeClr w14:val="tx1"/>
            </w14:solidFill>
          </w14:textFill>
        </w:rPr>
        <w:t>园区</w:t>
      </w:r>
      <w:r>
        <w:rPr>
          <w:rFonts w:hint="default"/>
          <w:color w:val="000000" w:themeColor="text1"/>
          <w14:textFill>
            <w14:solidFill>
              <w14:schemeClr w14:val="tx1"/>
            </w14:solidFill>
          </w14:textFill>
        </w:rPr>
        <w:t>排</w:t>
      </w:r>
      <w:r>
        <w:rPr>
          <w:rFonts w:hint="eastAsia"/>
          <w:color w:val="000000" w:themeColor="text1"/>
          <w:lang w:eastAsia="zh-CN"/>
          <w14:textFill>
            <w14:solidFill>
              <w14:schemeClr w14:val="tx1"/>
            </w14:solidFill>
          </w14:textFill>
        </w:rPr>
        <w:t>水管网</w:t>
      </w:r>
      <w:r>
        <w:rPr>
          <w:rFonts w:hint="default"/>
          <w:color w:val="000000" w:themeColor="text1"/>
          <w14:textFill>
            <w14:solidFill>
              <w14:schemeClr w14:val="tx1"/>
            </w14:solidFill>
          </w14:textFill>
        </w:rPr>
        <w:t>。</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②生活污水</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生活污水</w:t>
      </w:r>
      <w:r>
        <w:rPr>
          <w:rFonts w:hint="eastAsia"/>
          <w:color w:val="000000" w:themeColor="text1"/>
          <w:lang w:eastAsia="zh-CN"/>
          <w14:textFill>
            <w14:solidFill>
              <w14:schemeClr w14:val="tx1"/>
            </w14:solidFill>
          </w14:textFill>
        </w:rPr>
        <w:t>排入囊谦县扶贫产业园污水管网</w:t>
      </w:r>
      <w:r>
        <w:rPr>
          <w:rFonts w:hint="default"/>
          <w:color w:val="000000" w:themeColor="text1"/>
          <w14:textFill>
            <w14:solidFill>
              <w14:schemeClr w14:val="tx1"/>
            </w14:solidFill>
          </w14:textFill>
        </w:rPr>
        <w:t>。</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③实验废水</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实验废水中的废弃的化学试剂和微生物试剂以及头次器皿清洗废水产生量约为</w:t>
      </w:r>
      <w:r>
        <w:rPr>
          <w:rFonts w:hint="eastAsia"/>
          <w:color w:val="000000" w:themeColor="text1"/>
          <w:lang w:val="en-US" w:eastAsia="zh-CN"/>
          <w14:textFill>
            <w14:solidFill>
              <w14:schemeClr w14:val="tx1"/>
            </w14:solidFill>
          </w14:textFill>
        </w:rPr>
        <w:t>2m³</w:t>
      </w:r>
      <w:r>
        <w:rPr>
          <w:rFonts w:hint="default"/>
          <w:color w:val="000000" w:themeColor="text1"/>
          <w14:textFill>
            <w14:solidFill>
              <w14:schemeClr w14:val="tx1"/>
            </w14:solidFill>
          </w14:textFill>
        </w:rPr>
        <w:t>/a，属于危废（HW03 废药物、药品/900-002-03 生产、销售及使用过程中产生的失效、变质、不合格、淘汰、伪劣的药物和药品），桶装收集后交由资质单位处置，不作为污水处理和排放。剩余的实验废水属于一般废水，与其它废水一起进入项目自建污水处理站处理。</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（3）地下水污染防治措施</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①生产装置区域内易产生泄漏的设备尽可能按其物料的物性分类集中布置。</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②糖化间、发酵间、理化实验室、微生物实验室、危废暂存间地面加铺一层2mm厚的HDPE防渗膜或其它人工材料进行重点防渗；一体化污水处理站地面采用15cm的防渗混凝土铺设，并加铺一层2mm厚的HDPE防渗膜或其它人工材料。以上区域确保等效黏土层防渗层Mb≥6.0m，防渗系数 K≤10</w:t>
      </w:r>
      <w:r>
        <w:rPr>
          <w:rFonts w:hint="default"/>
          <w:color w:val="000000" w:themeColor="text1"/>
          <w:vertAlign w:val="superscript"/>
          <w14:textFill>
            <w14:solidFill>
              <w14:schemeClr w14:val="tx1"/>
            </w14:solidFill>
          </w14:textFill>
        </w:rPr>
        <w:t>-7</w:t>
      </w:r>
      <w:r>
        <w:rPr>
          <w:rFonts w:hint="default"/>
          <w:color w:val="000000" w:themeColor="text1"/>
          <w14:textFill>
            <w14:solidFill>
              <w14:schemeClr w14:val="tx1"/>
            </w14:solidFill>
          </w14:textFill>
        </w:rPr>
        <w:t>cm/s。</w:t>
      </w:r>
    </w:p>
    <w:p>
      <w:pPr>
        <w:bidi w:val="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③危险废物转运时必须安全转移，防止撒漏，并严格执行危险废物转运联单制度，防止二次污染的产生。</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（4）噪声污染防治措施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本项目噪声源特征，噪声污染防治主要通过优先选用低噪设备，对高噪声设备须采取相应的减振、隔声措施，平时生产中加强对各设备的维修、保养，在厂界周围植树种草，在美化环境的同时实现对噪声的消减等措施减轻对周围声环境的影响。采取以上措施后营运期厂界昼间（夜间不生产）噪声满足《工业企业厂界环境噪声排放标准》（GB12348-2008）3 类标准要求。</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（5）固废处置措施</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运营期产生固废中生活垃圾、废硅藻土、污泥属于一般固废，收集后定期送</w:t>
      </w:r>
      <w:r>
        <w:rPr>
          <w:rFonts w:hint="eastAsia"/>
          <w:color w:val="000000" w:themeColor="text1"/>
          <w:lang w:eastAsia="zh-CN"/>
          <w14:textFill>
            <w14:solidFill>
              <w14:schemeClr w14:val="tx1"/>
            </w14:solidFill>
          </w14:textFill>
        </w:rPr>
        <w:t>囊谦县</w:t>
      </w:r>
      <w:r>
        <w:rPr>
          <w:rFonts w:hint="eastAsia"/>
          <w:color w:val="000000" w:themeColor="text1"/>
          <w14:textFill>
            <w14:solidFill>
              <w14:schemeClr w14:val="tx1"/>
            </w14:solidFill>
          </w14:textFill>
        </w:rPr>
        <w:t>垃圾填埋场处置；收集的粉尘、麦糟、酒花糟、废酵母为含有大量蛋白质、碳水化合物的物质，可以送周围养殖户用于牲畜饲料；项目灌装产生的废包装物属于可回收资源，建议收后外卖废旧资源回收；废树脂、废化学试剂属于危废，应委托有资质单位处置。项目运营期产生的各类固体均能够合理处置，对环境影响较小。</w:t>
      </w:r>
    </w:p>
    <w:bookmarkEnd w:id="250"/>
    <w:bookmarkEnd w:id="251"/>
    <w:bookmarkEnd w:id="252"/>
    <w:bookmarkEnd w:id="253"/>
    <w:bookmarkEnd w:id="254"/>
    <w:bookmarkEnd w:id="255"/>
    <w:bookmarkEnd w:id="256"/>
    <w:bookmarkEnd w:id="269"/>
    <w:bookmarkEnd w:id="270"/>
    <w:bookmarkEnd w:id="271"/>
    <w:p>
      <w:pPr>
        <w:pStyle w:val="3"/>
        <w:spacing w:before="192" w:after="216"/>
        <w:rPr>
          <w:color w:val="000000" w:themeColor="text1"/>
          <w:highlight w:val="none"/>
          <w14:textFill>
            <w14:solidFill>
              <w14:schemeClr w14:val="tx1"/>
            </w14:solidFill>
          </w14:textFill>
        </w:rPr>
      </w:pPr>
      <w:bookmarkStart w:id="272" w:name="_Toc16615"/>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w:t>
      </w:r>
      <w:bookmarkEnd w:id="226"/>
      <w:bookmarkEnd w:id="227"/>
      <w:bookmarkEnd w:id="228"/>
      <w:bookmarkEnd w:id="229"/>
      <w:bookmarkEnd w:id="230"/>
      <w:bookmarkEnd w:id="231"/>
      <w:bookmarkEnd w:id="232"/>
      <w:bookmarkEnd w:id="233"/>
      <w:bookmarkEnd w:id="234"/>
      <w:bookmarkEnd w:id="235"/>
      <w:bookmarkEnd w:id="236"/>
      <w:bookmarkStart w:id="273" w:name="_Toc411677364"/>
      <w:bookmarkStart w:id="274" w:name="_Toc23268"/>
      <w:bookmarkStart w:id="275" w:name="_Toc6780"/>
      <w:bookmarkStart w:id="276" w:name="_Toc435196606"/>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环境影响分析结论</w:t>
      </w:r>
      <w:bookmarkEnd w:id="272"/>
      <w:bookmarkEnd w:id="273"/>
      <w:bookmarkEnd w:id="274"/>
      <w:bookmarkEnd w:id="275"/>
      <w:bookmarkEnd w:id="276"/>
    </w:p>
    <w:p>
      <w:pPr>
        <w:ind w:firstLine="560"/>
        <w:rPr>
          <w:color w:val="000000" w:themeColor="text1"/>
          <w:szCs w:val="28"/>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地环境质量现状良好,地表水、空气及声环境质量都达到国家规定的标准。项目建成后,基本不产生空气污染和噪声污染。综上所述，该建设项目只要严格执行国家的有关政策法规，认真执行建设项目环境保护管理办法和“三同时”制度，确保各项污染物达标后排放，从环保角度来看是可行的。</w:t>
      </w:r>
    </w:p>
    <w:p>
      <w:pPr>
        <w:pStyle w:val="2"/>
        <w:bidi w:val="0"/>
        <w:rPr>
          <w:color w:val="000000" w:themeColor="text1"/>
          <w:highlight w:val="none"/>
          <w14:textFill>
            <w14:solidFill>
              <w14:schemeClr w14:val="tx1"/>
            </w14:solidFill>
          </w14:textFill>
        </w:rPr>
      </w:pPr>
      <w:bookmarkStart w:id="277" w:name="_Toc5147"/>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章  劳动安全</w:t>
      </w:r>
      <w:r>
        <w:rPr>
          <w:rFonts w:hint="eastAsia"/>
          <w:color w:val="000000" w:themeColor="text1"/>
          <w:highlight w:val="none"/>
          <w14:textFill>
            <w14:solidFill>
              <w14:schemeClr w14:val="tx1"/>
            </w14:solidFill>
          </w14:textFill>
        </w:rPr>
        <w:t>卫生</w:t>
      </w:r>
      <w:r>
        <w:rPr>
          <w:color w:val="000000" w:themeColor="text1"/>
          <w:highlight w:val="none"/>
          <w14:textFill>
            <w14:solidFill>
              <w14:schemeClr w14:val="tx1"/>
            </w14:solidFill>
          </w14:textFill>
        </w:rPr>
        <w:t>与消防</w:t>
      </w:r>
      <w:bookmarkEnd w:id="214"/>
      <w:bookmarkEnd w:id="215"/>
      <w:bookmarkEnd w:id="277"/>
    </w:p>
    <w:p>
      <w:pPr>
        <w:pStyle w:val="3"/>
        <w:spacing w:before="192" w:after="216"/>
        <w:rPr>
          <w:color w:val="000000" w:themeColor="text1"/>
          <w:highlight w:val="none"/>
          <w14:textFill>
            <w14:solidFill>
              <w14:schemeClr w14:val="tx1"/>
            </w14:solidFill>
          </w14:textFill>
        </w:rPr>
      </w:pPr>
      <w:bookmarkStart w:id="278" w:name="_Toc217179812"/>
      <w:bookmarkStart w:id="279" w:name="_Toc257201346"/>
      <w:bookmarkStart w:id="280" w:name="_Toc404600483"/>
      <w:bookmarkStart w:id="281" w:name="_Toc31529"/>
      <w:bookmarkStart w:id="282" w:name="_Toc283655486"/>
      <w:bookmarkStart w:id="283" w:name="_Toc413831566"/>
      <w:bookmarkStart w:id="284" w:name="_Toc18578"/>
      <w:bookmarkStart w:id="285" w:name="_Toc236046925"/>
      <w:bookmarkStart w:id="286" w:name="_Toc435196608"/>
      <w:bookmarkStart w:id="287" w:name="_Toc17243"/>
      <w:bookmarkStart w:id="288" w:name="_Toc22346"/>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.1主要规范和标准</w:t>
      </w:r>
      <w:bookmarkEnd w:id="278"/>
      <w:bookmarkEnd w:id="279"/>
      <w:r>
        <w:rPr>
          <w:rFonts w:hint="eastAsia"/>
          <w:color w:val="000000" w:themeColor="text1"/>
          <w:highlight w:val="none"/>
          <w14:textFill>
            <w14:solidFill>
              <w14:schemeClr w14:val="tx1"/>
            </w14:solidFill>
          </w14:textFill>
        </w:rPr>
        <w:t>、规定</w:t>
      </w:r>
      <w:bookmarkEnd w:id="280"/>
      <w:bookmarkEnd w:id="281"/>
      <w:bookmarkEnd w:id="282"/>
      <w:bookmarkEnd w:id="283"/>
      <w:bookmarkEnd w:id="284"/>
      <w:bookmarkEnd w:id="285"/>
      <w:bookmarkEnd w:id="286"/>
      <w:bookmarkEnd w:id="287"/>
      <w:bookmarkEnd w:id="288"/>
    </w:p>
    <w:p>
      <w:pPr>
        <w:ind w:firstLine="560"/>
        <w:rPr>
          <w:color w:val="000000" w:themeColor="text1"/>
          <w:highlight w:val="none"/>
          <w:lang w:val="zh-CN"/>
          <w14:textFill>
            <w14:solidFill>
              <w14:schemeClr w14:val="tx1"/>
            </w14:solidFill>
          </w14:textFill>
        </w:rPr>
      </w:pPr>
      <w:bookmarkStart w:id="289" w:name="_Toc18455"/>
      <w:bookmarkStart w:id="290" w:name="_Toc413831567"/>
      <w:bookmarkStart w:id="291" w:name="_Toc435196609"/>
      <w:bookmarkStart w:id="292" w:name="_Toc404600484"/>
      <w:r>
        <w:rPr>
          <w:rFonts w:hint="eastAsia"/>
          <w:color w:val="000000" w:themeColor="text1"/>
          <w:highlight w:val="none"/>
          <w:lang w:val="zh-CN"/>
          <w14:textFill>
            <w14:solidFill>
              <w14:schemeClr w14:val="tx1"/>
            </w14:solidFill>
          </w14:textFill>
        </w:rPr>
        <w:t>（1）《建设项目（工程）劳动安全卫生监察规定》（劳动部</w:t>
      </w:r>
      <w:r>
        <w:rPr>
          <w:rFonts w:hint="eastAsia"/>
          <w:color w:val="000000" w:themeColor="text1"/>
          <w:highlight w:val="none"/>
          <w14:textFill>
            <w14:solidFill>
              <w14:schemeClr w14:val="tx1"/>
            </w14:solidFill>
          </w14:textFill>
        </w:rPr>
        <w:t>〔199</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w:t>
      </w:r>
      <w:r>
        <w:rPr>
          <w:rFonts w:hint="eastAsia"/>
          <w:color w:val="000000" w:themeColor="text1"/>
          <w:highlight w:val="none"/>
          <w:lang w:val="zh-CN"/>
          <w14:textFill>
            <w14:solidFill>
              <w14:schemeClr w14:val="tx1"/>
            </w14:solidFill>
          </w14:textFill>
        </w:rPr>
        <w:t>第3号令）；</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（2）《工业与民用电力装置接地设计规范》（GBJ</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65-83）；</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（3）《工作场所有害因素职业接触限制》（GBZ</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2-2002）；</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（4）《电气设备安全设计导则》（GB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4063-1983）；</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（5）《建筑物防雷设计规范》（GB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50057-2010）（2011版）；</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（6）《建筑设计防火规范》（GB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50016-2014）</w:t>
      </w:r>
      <w:r>
        <w:rPr>
          <w:rFonts w:hint="eastAsia"/>
          <w:color w:val="000000" w:themeColor="text1"/>
          <w:highlight w:val="none"/>
          <w14:textFill>
            <w14:solidFill>
              <w14:schemeClr w14:val="tx1"/>
            </w14:solidFill>
          </w14:textFill>
        </w:rPr>
        <w:t>（2018版）</w:t>
      </w:r>
      <w:r>
        <w:rPr>
          <w:rFonts w:hint="eastAsia"/>
          <w:color w:val="000000" w:themeColor="text1"/>
          <w:highlight w:val="none"/>
          <w:lang w:val="zh-CN"/>
          <w14:textFill>
            <w14:solidFill>
              <w14:schemeClr w14:val="tx1"/>
            </w14:solidFill>
          </w14:textFill>
        </w:rPr>
        <w:t>；</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（8）《建筑内部装修设计防火规范》（GB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50222-2017)；</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（9）《建筑工程设计文件编制深度规定</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2016年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pPr>
        <w:ind w:firstLine="560"/>
        <w:rPr>
          <w:rFonts w:hint="eastAsia" w:eastAsia="仿宋"/>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（10）《消防给水及消火栓系统技术规范》（GB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0974-2014）</w:t>
      </w:r>
      <w:r>
        <w:rPr>
          <w:rFonts w:hint="eastAsia"/>
          <w:color w:val="000000" w:themeColor="text1"/>
          <w:highlight w:val="none"/>
          <w:lang w:eastAsia="zh-CN"/>
          <w14:textFill>
            <w14:solidFill>
              <w14:schemeClr w14:val="tx1"/>
            </w14:solidFill>
          </w14:textFill>
        </w:rPr>
        <w:t>。</w:t>
      </w:r>
    </w:p>
    <w:p>
      <w:pPr>
        <w:pStyle w:val="3"/>
        <w:spacing w:before="192" w:after="216"/>
        <w:rPr>
          <w:rFonts w:hint="eastAsia"/>
          <w:color w:val="000000" w:themeColor="text1"/>
          <w:highlight w:val="none"/>
          <w14:textFill>
            <w14:solidFill>
              <w14:schemeClr w14:val="tx1"/>
            </w14:solidFill>
          </w14:textFill>
        </w:rPr>
      </w:pPr>
      <w:bookmarkStart w:id="293" w:name="_Toc2601"/>
      <w:bookmarkStart w:id="294" w:name="_Toc4132"/>
      <w:bookmarkStart w:id="295" w:name="_Toc23946"/>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.2劳动安全</w:t>
      </w:r>
      <w:bookmarkEnd w:id="289"/>
      <w:bookmarkEnd w:id="290"/>
      <w:bookmarkEnd w:id="291"/>
      <w:bookmarkEnd w:id="292"/>
      <w:r>
        <w:rPr>
          <w:rFonts w:hint="eastAsia"/>
          <w:color w:val="000000" w:themeColor="text1"/>
          <w:highlight w:val="none"/>
          <w14:textFill>
            <w14:solidFill>
              <w14:schemeClr w14:val="tx1"/>
            </w14:solidFill>
          </w14:textFill>
        </w:rPr>
        <w:t>卫生</w:t>
      </w:r>
      <w:bookmarkEnd w:id="293"/>
      <w:bookmarkEnd w:id="294"/>
      <w:bookmarkEnd w:id="295"/>
    </w:p>
    <w:p>
      <w:pPr>
        <w:pStyle w:val="4"/>
        <w:ind w:firstLine="600"/>
        <w:rPr>
          <w:bCs w:val="0"/>
          <w:color w:val="000000" w:themeColor="text1"/>
          <w:szCs w:val="30"/>
          <w:highlight w:val="none"/>
          <w:lang w:val="zh-CN"/>
          <w14:textFill>
            <w14:solidFill>
              <w14:schemeClr w14:val="tx1"/>
            </w14:solidFill>
          </w14:textFill>
        </w:rPr>
      </w:pPr>
      <w:r>
        <w:rPr>
          <w:rFonts w:hint="eastAsia"/>
          <w:bCs w:val="0"/>
          <w:color w:val="000000" w:themeColor="text1"/>
          <w:szCs w:val="30"/>
          <w:highlight w:val="none"/>
          <w14:textFill>
            <w14:solidFill>
              <w14:schemeClr w14:val="tx1"/>
            </w14:solidFill>
          </w14:textFill>
        </w:rPr>
        <w:t>1</w:t>
      </w:r>
      <w:r>
        <w:rPr>
          <w:rFonts w:hint="eastAsia"/>
          <w:bCs w:val="0"/>
          <w:color w:val="000000" w:themeColor="text1"/>
          <w:szCs w:val="30"/>
          <w:highlight w:val="none"/>
          <w:lang w:val="en-US" w:eastAsia="zh-CN"/>
          <w14:textFill>
            <w14:solidFill>
              <w14:schemeClr w14:val="tx1"/>
            </w14:solidFill>
          </w14:textFill>
        </w:rPr>
        <w:t>0</w:t>
      </w:r>
      <w:r>
        <w:rPr>
          <w:rFonts w:hint="eastAsia"/>
          <w:bCs w:val="0"/>
          <w:color w:val="000000" w:themeColor="text1"/>
          <w:szCs w:val="30"/>
          <w:highlight w:val="none"/>
          <w:lang w:val="zh-CN"/>
          <w14:textFill>
            <w14:solidFill>
              <w14:schemeClr w14:val="tx1"/>
            </w14:solidFill>
          </w14:textFill>
        </w:rPr>
        <w:t>.2.1施工期劳动安全卫生</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本项目施工过程中存在的危害因素主要有高空坠落、机械伤害、触电、火灾、高空落物、中暑等。</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.2.2主要危害因素防范措施</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（1）施工过程中严格按照安全操作规程设立安全网，现场施工人员必须佩戴安全帽作业，并派专人对施工现场进行安全规范。</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（2）施工过程中所有带电设备应加防护罩，并作防水保护，避免与设备直接接触，防止触电事故的发生。</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lang w:val="zh-CN"/>
          <w14:textFill>
            <w14:solidFill>
              <w14:schemeClr w14:val="tx1"/>
            </w14:solidFill>
          </w14:textFill>
        </w:rPr>
        <w:t>（3）脚手架搭设或拆除过程中，严格按照操作流程，避免架体失稳，造成高空坠落。</w:t>
      </w:r>
    </w:p>
    <w:p>
      <w:pPr>
        <w:pStyle w:val="3"/>
        <w:spacing w:before="192" w:after="216"/>
        <w:rPr>
          <w:color w:val="000000" w:themeColor="text1"/>
          <w:highlight w:val="none"/>
          <w:lang w:val="zh-CN"/>
          <w14:textFill>
            <w14:solidFill>
              <w14:schemeClr w14:val="tx1"/>
            </w14:solidFill>
          </w14:textFill>
        </w:rPr>
      </w:pPr>
      <w:bookmarkStart w:id="296" w:name="_Toc30269"/>
      <w:bookmarkStart w:id="297" w:name="_Toc3187275"/>
      <w:bookmarkStart w:id="298" w:name="_Toc2261"/>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消防</w:t>
      </w:r>
      <w:bookmarkEnd w:id="296"/>
      <w:bookmarkEnd w:id="297"/>
      <w:bookmarkEnd w:id="298"/>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.3.1建筑消防</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（1）总图设计环形消防道路，道路宽度为7～12</w:t>
      </w:r>
      <w:r>
        <w:rPr>
          <w:rFonts w:hint="eastAsia"/>
          <w:color w:val="000000" w:themeColor="text1"/>
          <w:highlight w:val="none"/>
          <w:lang w:val="en-US" w:eastAsia="zh-CN"/>
          <w14:textFill>
            <w14:solidFill>
              <w14:schemeClr w14:val="tx1"/>
            </w14:solidFill>
          </w14:textFill>
        </w:rPr>
        <w:t>m</w:t>
      </w:r>
      <w:r>
        <w:rPr>
          <w:rFonts w:hint="eastAsia"/>
          <w:color w:val="000000" w:themeColor="text1"/>
          <w:highlight w:val="none"/>
          <w14:textFill>
            <w14:solidFill>
              <w14:schemeClr w14:val="tx1"/>
            </w14:solidFill>
          </w14:textFill>
        </w:rPr>
        <w:t>，满足规范要求；新建建筑之间防火间距能满足规范要求。</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改建</w:t>
      </w:r>
      <w:r>
        <w:rPr>
          <w:rFonts w:hint="eastAsia"/>
          <w:color w:val="000000" w:themeColor="text1"/>
          <w:highlight w:val="none"/>
          <w14:textFill>
            <w14:solidFill>
              <w14:schemeClr w14:val="tx1"/>
            </w14:solidFill>
          </w14:textFill>
        </w:rPr>
        <w:t>生产</w:t>
      </w:r>
      <w:r>
        <w:rPr>
          <w:rFonts w:hint="eastAsia"/>
          <w:color w:val="000000" w:themeColor="text1"/>
          <w:highlight w:val="none"/>
          <w:lang w:eastAsia="zh-CN"/>
          <w14:textFill>
            <w14:solidFill>
              <w14:schemeClr w14:val="tx1"/>
            </w14:solidFill>
          </w14:textFill>
        </w:rPr>
        <w:t>车间</w:t>
      </w:r>
      <w:r>
        <w:rPr>
          <w:rFonts w:hint="eastAsia"/>
          <w:color w:val="000000" w:themeColor="text1"/>
          <w:highlight w:val="none"/>
          <w14:textFill>
            <w14:solidFill>
              <w14:schemeClr w14:val="tx1"/>
            </w14:solidFill>
          </w14:textFill>
        </w:rPr>
        <w:t>为一个防火分区，耐火等级为二级。新建</w:t>
      </w:r>
      <w:r>
        <w:rPr>
          <w:rFonts w:hint="eastAsia"/>
          <w:color w:val="000000" w:themeColor="text1"/>
          <w:highlight w:val="none"/>
          <w:lang w:eastAsia="zh-CN"/>
          <w14:textFill>
            <w14:solidFill>
              <w14:schemeClr w14:val="tx1"/>
            </w14:solidFill>
          </w14:textFill>
        </w:rPr>
        <w:t>库房</w:t>
      </w:r>
      <w:r>
        <w:rPr>
          <w:rFonts w:hint="eastAsia"/>
          <w:color w:val="000000" w:themeColor="text1"/>
          <w:highlight w:val="none"/>
          <w14:textFill>
            <w14:solidFill>
              <w14:schemeClr w14:val="tx1"/>
            </w14:solidFill>
          </w14:textFill>
        </w:rPr>
        <w:t>为一个防火分区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耐火等级为二级。</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.3.2给排水消防</w:t>
      </w:r>
    </w:p>
    <w:p>
      <w:pPr>
        <w:bidi w:val="0"/>
        <w:rPr>
          <w:rFonts w:hint="eastAsia"/>
          <w:color w:val="000000" w:themeColor="text1"/>
          <w:lang w:val="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w:t>
      </w:r>
      <w:r>
        <w:rPr>
          <w:rFonts w:hint="eastAsia"/>
          <w:color w:val="000000" w:themeColor="text1"/>
          <w:lang w:val="zh-CN"/>
          <w14:textFill>
            <w14:solidFill>
              <w14:schemeClr w14:val="tx1"/>
            </w14:solidFill>
          </w14:textFill>
        </w:rPr>
        <w:t>系统设计</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本项目按《建筑设计防火规范》（GB 50016-2014）（2018年版）确定建筑室内应设计的消防系统，并在建筑室内配有移动灭火器，室外设置室外消火栓系统。</w:t>
      </w:r>
    </w:p>
    <w:p>
      <w:pPr>
        <w:tabs>
          <w:tab w:val="left" w:pos="7410"/>
        </w:tabs>
        <w:spacing w:line="480" w:lineRule="auto"/>
        <w:rPr>
          <w:rFonts w:hint="eastAsia"/>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本项目区西侧现状有一处消防泵房及消防水池，消防水池有效容积</w:t>
      </w:r>
      <w:r>
        <w:rPr>
          <w:color w:val="000000" w:themeColor="text1"/>
          <w:kern w:val="0"/>
          <w14:textFill>
            <w14:solidFill>
              <w14:schemeClr w14:val="tx1"/>
            </w14:solidFill>
          </w14:textFill>
        </w:rPr>
        <w:t>65</w:t>
      </w:r>
      <w:r>
        <w:rPr>
          <w:rFonts w:hint="eastAsia"/>
          <w:color w:val="000000" w:themeColor="text1"/>
          <w:kern w:val="0"/>
          <w14:textFill>
            <w14:solidFill>
              <w14:schemeClr w14:val="tx1"/>
            </w14:solidFill>
          </w14:textFill>
        </w:rPr>
        <w:t>0立方米。泵房内设置室内消防泵一套、室外消防泵一套、增压稳压设备一套。室内消防泵选型为：XBD 6/30-SLH（Q=30L/s，H=60m，K=37kw，一用一备）。室外消防泵选型为：XBD 4/30-SLH（Q=30L/s，H=40m，K=30kw，一用一备）。室外设置室内消火栓环网（管径DN150）及室外消火栓环网（管径DN150）各一套，管线位置均经过本项目区。</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（2）</w:t>
      </w:r>
      <w:r>
        <w:rPr>
          <w:rFonts w:hint="eastAsia"/>
          <w:color w:val="000000" w:themeColor="text1"/>
          <w:lang w:val="zh-CN" w:eastAsia="zh-CN"/>
          <w14:textFill>
            <w14:solidFill>
              <w14:schemeClr w14:val="tx1"/>
            </w14:solidFill>
          </w14:textFill>
        </w:rPr>
        <w:t>消防用水量</w:t>
      </w:r>
    </w:p>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体量较大建筑消防用水量计算</w:t>
      </w:r>
    </w:p>
    <w:p>
      <w:pPr>
        <w:spacing w:line="240" w:lineRule="auto"/>
        <w:ind w:firstLine="0" w:firstLineChars="0"/>
        <w:jc w:val="left"/>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zh-CN"/>
          <w14:textFill>
            <w14:solidFill>
              <w14:schemeClr w14:val="tx1"/>
            </w14:solidFill>
          </w14:textFill>
        </w:rPr>
        <w:t>-</w:t>
      </w:r>
      <w:r>
        <w:rPr>
          <w:rFonts w:hint="eastAsia" w:cs="宋体"/>
          <w:b/>
          <w:bCs/>
          <w:color w:val="000000" w:themeColor="text1"/>
          <w:sz w:val="21"/>
          <w:szCs w:val="21"/>
          <w14:textFill>
            <w14:solidFill>
              <w14:schemeClr w14:val="tx1"/>
            </w14:solidFill>
          </w14:textFill>
        </w:rPr>
        <w:t>11</w:t>
      </w:r>
    </w:p>
    <w:tbl>
      <w:tblPr>
        <w:tblStyle w:val="40"/>
        <w:tblW w:w="0" w:type="auto"/>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4"/>
        <w:gridCol w:w="1569"/>
        <w:gridCol w:w="1749"/>
        <w:gridCol w:w="1671"/>
        <w:gridCol w:w="1317"/>
        <w:gridCol w:w="1494"/>
        <w:gridCol w:w="116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81" w:hRule="exact"/>
          <w:tblHeader/>
          <w:jc w:val="center"/>
        </w:trPr>
        <w:tc>
          <w:tcPr>
            <w:tcW w:w="40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序号</w:t>
            </w:r>
          </w:p>
        </w:tc>
        <w:tc>
          <w:tcPr>
            <w:tcW w:w="156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建筑名称</w:t>
            </w: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设计流量</w:t>
            </w:r>
          </w:p>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(L/</w:t>
            </w:r>
            <w:r>
              <w:rPr>
                <w:rFonts w:hint="eastAsia" w:ascii="仿宋" w:hAnsi="仿宋" w:eastAsia="仿宋" w:cs="仿宋"/>
                <w:b/>
                <w:bCs/>
                <w:color w:val="000000" w:themeColor="text1"/>
                <w:kern w:val="2"/>
                <w:sz w:val="24"/>
                <w:szCs w:val="24"/>
                <w14:textFill>
                  <w14:solidFill>
                    <w14:schemeClr w14:val="tx1"/>
                  </w14:solidFill>
                </w14:textFill>
              </w:rPr>
              <w:t>s</w:t>
            </w:r>
            <w:r>
              <w:rPr>
                <w:rFonts w:hint="eastAsia" w:ascii="仿宋" w:hAnsi="仿宋" w:eastAsia="仿宋" w:cs="仿宋"/>
                <w:b/>
                <w:bCs/>
                <w:color w:val="000000" w:themeColor="text1"/>
                <w:kern w:val="2"/>
                <w:sz w:val="24"/>
                <w:szCs w:val="24"/>
                <w:lang w:val="zh-CN"/>
                <w14:textFill>
                  <w14:solidFill>
                    <w14:schemeClr w14:val="tx1"/>
                  </w14:solidFill>
                </w14:textFill>
              </w:rPr>
              <w:t>)</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室内消栓设计流量（L/</w:t>
            </w:r>
            <w:r>
              <w:rPr>
                <w:rFonts w:hint="eastAsia" w:ascii="仿宋" w:hAnsi="仿宋" w:eastAsia="仿宋" w:cs="仿宋"/>
                <w:b/>
                <w:bCs/>
                <w:color w:val="000000" w:themeColor="text1"/>
                <w:kern w:val="2"/>
                <w:sz w:val="24"/>
                <w:szCs w:val="24"/>
                <w14:textFill>
                  <w14:solidFill>
                    <w14:schemeClr w14:val="tx1"/>
                  </w14:solidFill>
                </w14:textFill>
              </w:rPr>
              <w:t>s）</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火灾延续时间（h）</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一次消防</w:t>
            </w:r>
          </w:p>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用水量（</w:t>
            </w:r>
            <w:r>
              <w:rPr>
                <w:rFonts w:hint="eastAsia" w:ascii="仿宋" w:hAnsi="仿宋" w:eastAsia="仿宋" w:cs="仿宋"/>
                <w:b/>
                <w:bCs/>
                <w:color w:val="000000" w:themeColor="text1"/>
                <w:kern w:val="2"/>
                <w:sz w:val="24"/>
                <w:szCs w:val="24"/>
                <w14:textFill>
                  <w14:solidFill>
                    <w14:schemeClr w14:val="tx1"/>
                  </w14:solidFill>
                </w14:textFill>
              </w:rPr>
              <w:t>m³</w:t>
            </w:r>
            <w:r>
              <w:rPr>
                <w:rFonts w:hint="eastAsia" w:ascii="仿宋" w:hAnsi="仿宋" w:eastAsia="仿宋" w:cs="仿宋"/>
                <w:b/>
                <w:bCs/>
                <w:color w:val="000000" w:themeColor="text1"/>
                <w:kern w:val="2"/>
                <w:sz w:val="24"/>
                <w:szCs w:val="24"/>
                <w:lang w:val="zh-CN"/>
                <w14:textFill>
                  <w14:solidFill>
                    <w14:schemeClr w14:val="tx1"/>
                  </w14:solidFill>
                </w14:textFill>
              </w:rPr>
              <w:t>）</w:t>
            </w:r>
          </w:p>
        </w:tc>
        <w:tc>
          <w:tcPr>
            <w:tcW w:w="116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b/>
                <w:bCs/>
                <w:color w:val="000000" w:themeColor="text1"/>
                <w:kern w:val="2"/>
                <w:sz w:val="24"/>
                <w:szCs w:val="24"/>
                <w:lang w:val="zh-CN"/>
                <w14:textFill>
                  <w14:solidFill>
                    <w14:schemeClr w14:val="tx1"/>
                  </w14:solidFill>
                </w14:textFill>
              </w:rPr>
            </w:pPr>
            <w:r>
              <w:rPr>
                <w:rFonts w:hint="eastAsia" w:ascii="仿宋" w:hAnsi="仿宋" w:eastAsia="仿宋" w:cs="仿宋"/>
                <w:b/>
                <w:bCs/>
                <w:color w:val="000000" w:themeColor="text1"/>
                <w:kern w:val="2"/>
                <w:sz w:val="24"/>
                <w:szCs w:val="24"/>
                <w:lang w:val="zh-CN"/>
                <w14:textFill>
                  <w14:solidFill>
                    <w14:schemeClr w14:val="tx1"/>
                  </w14:solidFill>
                </w14:textFill>
              </w:rPr>
              <w:t>合计用水量（</w:t>
            </w:r>
            <w:r>
              <w:rPr>
                <w:rFonts w:hint="eastAsia" w:ascii="仿宋" w:hAnsi="仿宋" w:eastAsia="仿宋" w:cs="仿宋"/>
                <w:b/>
                <w:bCs/>
                <w:color w:val="000000" w:themeColor="text1"/>
                <w:kern w:val="2"/>
                <w:sz w:val="24"/>
                <w:szCs w:val="24"/>
                <w14:textFill>
                  <w14:solidFill>
                    <w14:schemeClr w14:val="tx1"/>
                  </w14:solidFill>
                </w14:textFill>
              </w:rPr>
              <w:t>m³</w:t>
            </w:r>
            <w:r>
              <w:rPr>
                <w:rFonts w:hint="eastAsia" w:ascii="仿宋" w:hAnsi="仿宋" w:eastAsia="仿宋" w:cs="仿宋"/>
                <w:b/>
                <w:bCs/>
                <w:color w:val="000000" w:themeColor="text1"/>
                <w:kern w:val="2"/>
                <w:sz w:val="24"/>
                <w:szCs w:val="24"/>
                <w:lang w:val="zh-CN"/>
                <w14:textFill>
                  <w14:solidFill>
                    <w14:schemeClr w14:val="tx1"/>
                  </w14:solidFill>
                </w14:textFill>
              </w:rPr>
              <w:t>）</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04"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1</w:t>
            </w:r>
          </w:p>
        </w:tc>
        <w:tc>
          <w:tcPr>
            <w:tcW w:w="1569"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生产</w:t>
            </w:r>
            <w:r>
              <w:rPr>
                <w:rFonts w:hint="eastAsia" w:ascii="仿宋" w:hAnsi="仿宋" w:eastAsia="仿宋" w:cs="仿宋"/>
                <w:color w:val="000000" w:themeColor="text1"/>
                <w:kern w:val="2"/>
                <w:sz w:val="24"/>
                <w:szCs w:val="24"/>
                <w:lang w:val="zh-CN"/>
                <w14:textFill>
                  <w14:solidFill>
                    <w14:schemeClr w14:val="tx1"/>
                  </w14:solidFill>
                </w14:textFill>
              </w:rPr>
              <w:t>车间</w:t>
            </w:r>
          </w:p>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（丙类）</w:t>
            </w: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室内消火栓</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20</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3</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216</w:t>
            </w:r>
          </w:p>
        </w:tc>
        <w:tc>
          <w:tcPr>
            <w:tcW w:w="1164" w:type="dxa"/>
            <w:vMerge w:val="restart"/>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486</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404"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p>
        </w:tc>
        <w:tc>
          <w:tcPr>
            <w:tcW w:w="1569"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p>
        </w:tc>
        <w:tc>
          <w:tcPr>
            <w:tcW w:w="1749"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lang w:val="zh-CN"/>
                <w14:textFill>
                  <w14:solidFill>
                    <w14:schemeClr w14:val="tx1"/>
                  </w14:solidFill>
                </w14:textFill>
              </w:rPr>
            </w:pPr>
            <w:r>
              <w:rPr>
                <w:rFonts w:hint="eastAsia" w:ascii="仿宋" w:hAnsi="仿宋" w:eastAsia="仿宋" w:cs="仿宋"/>
                <w:color w:val="000000" w:themeColor="text1"/>
                <w:kern w:val="2"/>
                <w:sz w:val="24"/>
                <w:szCs w:val="24"/>
                <w:lang w:val="zh-CN"/>
                <w14:textFill>
                  <w14:solidFill>
                    <w14:schemeClr w14:val="tx1"/>
                  </w14:solidFill>
                </w14:textFill>
              </w:rPr>
              <w:t>室外消火栓</w:t>
            </w:r>
          </w:p>
        </w:tc>
        <w:tc>
          <w:tcPr>
            <w:tcW w:w="1671"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25</w:t>
            </w:r>
          </w:p>
        </w:tc>
        <w:tc>
          <w:tcPr>
            <w:tcW w:w="1317"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3</w:t>
            </w:r>
          </w:p>
        </w:tc>
        <w:tc>
          <w:tcPr>
            <w:tcW w:w="1494" w:type="dxa"/>
            <w:noWrap w:val="0"/>
            <w:vAlign w:val="center"/>
          </w:tcPr>
          <w:p>
            <w:pPr>
              <w:pStyle w:val="149"/>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270</w:t>
            </w:r>
          </w:p>
        </w:tc>
        <w:tc>
          <w:tcPr>
            <w:tcW w:w="1164" w:type="dxa"/>
            <w:vMerge w:val="continue"/>
            <w:noWrap w:val="0"/>
            <w:vAlign w:val="center"/>
          </w:tcPr>
          <w:p>
            <w:pPr>
              <w:pStyle w:val="149"/>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color w:val="000000" w:themeColor="text1"/>
                <w:kern w:val="2"/>
                <w:sz w:val="24"/>
                <w:szCs w:val="24"/>
                <w14:textFill>
                  <w14:solidFill>
                    <w14:schemeClr w14:val="tx1"/>
                  </w14:solidFill>
                </w14:textFill>
              </w:rPr>
            </w:pPr>
          </w:p>
        </w:tc>
      </w:tr>
    </w:tbl>
    <w:p>
      <w:pPr>
        <w:spacing w:line="480" w:lineRule="auto"/>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本项目用地范围内按同时发生一起火灾设防，本项目一次消防用水量为</w:t>
      </w:r>
      <w:r>
        <w:rPr>
          <w:rFonts w:hint="eastAsia"/>
          <w:color w:val="000000" w:themeColor="text1"/>
          <w14:textFill>
            <w14:solidFill>
              <w14:schemeClr w14:val="tx1"/>
            </w14:solidFill>
          </w14:textFill>
        </w:rPr>
        <w:t>486m</w:t>
      </w:r>
      <w:r>
        <w:rPr>
          <w:rFonts w:hint="eastAsia" w:ascii="宋体" w:hAnsi="宋体" w:eastAsia="宋体" w:cs="宋体"/>
          <w:color w:val="000000" w:themeColor="text1"/>
          <w14:textFill>
            <w14:solidFill>
              <w14:schemeClr w14:val="tx1"/>
            </w14:solidFill>
          </w14:textFill>
        </w:rPr>
        <w:t>³</w:t>
      </w:r>
      <w:r>
        <w:rPr>
          <w:rFonts w:hint="eastAsia"/>
          <w:color w:val="000000" w:themeColor="text1"/>
          <w14:textFill>
            <w14:solidFill>
              <w14:schemeClr w14:val="tx1"/>
            </w14:solidFill>
          </w14:textFill>
        </w:rPr>
        <w:t>。</w:t>
      </w:r>
    </w:p>
    <w:p>
      <w:pPr>
        <w:bidi w:val="0"/>
        <w:rPr>
          <w:rFonts w:hint="eastAsia"/>
          <w:color w:val="000000" w:themeColor="text1"/>
          <w:lang w:val="zh-CN" w:eastAsia="zh-CN"/>
          <w14:textFill>
            <w14:solidFill>
              <w14:schemeClr w14:val="tx1"/>
            </w14:solidFill>
          </w14:textFill>
        </w:rPr>
      </w:pPr>
      <w:r>
        <w:rPr>
          <w:rFonts w:hint="eastAsia"/>
          <w:color w:val="000000" w:themeColor="text1"/>
          <w:lang w:eastAsia="zh-CN"/>
          <w14:textFill>
            <w14:solidFill>
              <w14:schemeClr w14:val="tx1"/>
            </w14:solidFill>
          </w14:textFill>
        </w:rPr>
        <w:t>（3）</w:t>
      </w:r>
      <w:r>
        <w:rPr>
          <w:rFonts w:hint="eastAsia"/>
          <w:color w:val="000000" w:themeColor="text1"/>
          <w:lang w:val="zh-CN" w:eastAsia="zh-CN"/>
          <w14:textFill>
            <w14:solidFill>
              <w14:schemeClr w14:val="tx1"/>
            </w14:solidFill>
          </w14:textFill>
        </w:rPr>
        <w:t>消火栓系统</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本项目消防用水由已建消防水池及泵房供给，经复核满足本次设计要求，本次设计消防系统从原有系统上接入。原有消防水箱位于已建三层综合楼屋面，有效容积为18</w:t>
      </w:r>
      <w:r>
        <w:rPr>
          <w:rFonts w:hint="eastAsia"/>
          <w:color w:val="000000" w:themeColor="text1"/>
          <w:lang w:val="en-US" w:eastAsia="zh-CN"/>
          <w14:textFill>
            <w14:solidFill>
              <w14:schemeClr w14:val="tx1"/>
            </w14:solidFill>
          </w14:textFill>
        </w:rPr>
        <w:t>m³</w:t>
      </w:r>
      <w:r>
        <w:rPr>
          <w:rFonts w:hint="eastAsia"/>
          <w:color w:val="000000" w:themeColor="text1"/>
          <w:lang w:val="zh-CN"/>
          <w14:textFill>
            <w14:solidFill>
              <w14:schemeClr w14:val="tx1"/>
            </w14:solidFill>
          </w14:textFill>
        </w:rPr>
        <w:t>，满足本次设计的要求。</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室外已建有消防环状管网系统，已建室外消防给水由消防水泵房室外消防水泵供给，在室外消防管网上设置地下式室外消火栓，地下式室外消火栓内配置DN100和DN65的栓口各一个，保护半径不大于150m，每个室外消火栓的间距均不应大于120m，距路边不大于2.0m，距建筑物外墙不小于5.0m。</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本工程在已建室外消火栓保护范围内，本次可不新建室外消火栓。</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本工程在加工车间内设置室内消火栓系统，由已建在院内已建的室内消火栓系统环网接入，水压及流量可满足本建筑使用要求，室内消火栓栓口的安装高度为距地面1.10</w:t>
      </w:r>
      <w:r>
        <w:rPr>
          <w:rFonts w:hint="eastAsia"/>
          <w:color w:val="000000" w:themeColor="text1"/>
          <w14:textFill>
            <w14:solidFill>
              <w14:schemeClr w14:val="tx1"/>
            </w14:solidFill>
          </w14:textFill>
        </w:rPr>
        <w:t>m</w:t>
      </w:r>
      <w:r>
        <w:rPr>
          <w:rFonts w:hint="eastAsia"/>
          <w:color w:val="000000" w:themeColor="text1"/>
          <w:lang w:val="zh-CN"/>
          <w14:textFill>
            <w14:solidFill>
              <w14:schemeClr w14:val="tx1"/>
            </w14:solidFill>
          </w14:textFill>
        </w:rPr>
        <w:t>。</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室内消火栓系统的管道采用内外壁热浸镀锌钢管，采用沟槽式卡箍连接或法兰连接，管道的公称压力1.0Mpa。</w:t>
      </w:r>
    </w:p>
    <w:p>
      <w:pPr>
        <w:bidi w:val="0"/>
        <w:rPr>
          <w:rFonts w:hint="eastAsia"/>
          <w:color w:val="000000" w:themeColor="text1"/>
          <w:lang w:val="zh-CN" w:eastAsia="zh-CN"/>
          <w14:textFill>
            <w14:solidFill>
              <w14:schemeClr w14:val="tx1"/>
            </w14:solidFill>
          </w14:textFill>
        </w:rPr>
      </w:pPr>
      <w:r>
        <w:rPr>
          <w:rFonts w:hint="eastAsia"/>
          <w:color w:val="000000" w:themeColor="text1"/>
          <w:lang w:eastAsia="zh-CN"/>
          <w14:textFill>
            <w14:solidFill>
              <w14:schemeClr w14:val="tx1"/>
            </w14:solidFill>
          </w14:textFill>
        </w:rPr>
        <w:t>（4）</w:t>
      </w:r>
      <w:r>
        <w:rPr>
          <w:rFonts w:hint="eastAsia"/>
          <w:color w:val="000000" w:themeColor="text1"/>
          <w:lang w:val="zh-CN" w:eastAsia="zh-CN"/>
          <w14:textFill>
            <w14:solidFill>
              <w14:schemeClr w14:val="tx1"/>
            </w14:solidFill>
          </w14:textFill>
        </w:rPr>
        <w:t>建筑灭火器配置</w:t>
      </w:r>
    </w:p>
    <w:p>
      <w:pPr>
        <w:spacing w:line="480" w:lineRule="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按照《建筑灭火器配置设计规范》配备一定数量的灭火器，每处配备的灭火器数量不少于两具。本项目加工车间危险等级为中危险级，火灾种类按A类。每个消火栓箱下和图中标识位置处配两具磷酸铵盐手提式移动灭火器。</w:t>
      </w:r>
    </w:p>
    <w:p>
      <w:pPr>
        <w:spacing w:line="240" w:lineRule="auto"/>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灭火器配置参数表</w:t>
      </w:r>
    </w:p>
    <w:p>
      <w:pPr>
        <w:spacing w:line="240" w:lineRule="auto"/>
        <w:ind w:firstLine="0" w:firstLineChars="0"/>
        <w:jc w:val="left"/>
        <w:rPr>
          <w:rFonts w:hint="eastAsia" w:cs="宋体"/>
          <w:b/>
          <w:bCs/>
          <w:color w:val="000000" w:themeColor="text1"/>
          <w:sz w:val="21"/>
          <w:szCs w:val="21"/>
          <w14:textFill>
            <w14:solidFill>
              <w14:schemeClr w14:val="tx1"/>
            </w14:solidFill>
          </w14:textFill>
        </w:rPr>
      </w:pPr>
      <w:r>
        <w:rPr>
          <w:rFonts w:hint="eastAsia" w:cs="宋体"/>
          <w:b/>
          <w:bCs/>
          <w:color w:val="000000" w:themeColor="text1"/>
          <w:sz w:val="21"/>
          <w:szCs w:val="21"/>
          <w:lang w:val="zh-CN"/>
          <w14:textFill>
            <w14:solidFill>
              <w14:schemeClr w14:val="tx1"/>
            </w14:solidFill>
          </w14:textFill>
        </w:rPr>
        <w:t>表</w:t>
      </w:r>
      <w:r>
        <w:rPr>
          <w:rFonts w:hint="eastAsia" w:cs="宋体"/>
          <w:b/>
          <w:bCs/>
          <w:color w:val="000000" w:themeColor="text1"/>
          <w:sz w:val="21"/>
          <w:szCs w:val="21"/>
          <w14:textFill>
            <w14:solidFill>
              <w14:schemeClr w14:val="tx1"/>
            </w14:solidFill>
          </w14:textFill>
        </w:rPr>
        <w:t>6</w:t>
      </w:r>
      <w:r>
        <w:rPr>
          <w:rFonts w:hint="eastAsia" w:cs="宋体"/>
          <w:b/>
          <w:bCs/>
          <w:color w:val="000000" w:themeColor="text1"/>
          <w:sz w:val="21"/>
          <w:szCs w:val="21"/>
          <w:lang w:val="zh-CN"/>
          <w14:textFill>
            <w14:solidFill>
              <w14:schemeClr w14:val="tx1"/>
            </w14:solidFill>
          </w14:textFill>
        </w:rPr>
        <w:t>-</w:t>
      </w:r>
      <w:r>
        <w:rPr>
          <w:rFonts w:hint="eastAsia" w:cs="宋体"/>
          <w:b/>
          <w:bCs/>
          <w:color w:val="000000" w:themeColor="text1"/>
          <w:sz w:val="21"/>
          <w:szCs w:val="21"/>
          <w14:textFill>
            <w14:solidFill>
              <w14:schemeClr w14:val="tx1"/>
            </w14:solidFill>
          </w14:textFill>
        </w:rPr>
        <w:t>12</w:t>
      </w:r>
    </w:p>
    <w:tbl>
      <w:tblPr>
        <w:tblStyle w:val="40"/>
        <w:tblW w:w="0" w:type="auto"/>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190"/>
        <w:gridCol w:w="2313"/>
        <w:gridCol w:w="2313"/>
        <w:gridCol w:w="2323"/>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673" w:hRule="exac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危险级别</w:t>
            </w:r>
          </w:p>
        </w:tc>
        <w:tc>
          <w:tcPr>
            <w:tcW w:w="2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每具最小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配置灭火级别</w:t>
            </w:r>
          </w:p>
        </w:tc>
        <w:tc>
          <w:tcPr>
            <w:tcW w:w="2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lang w:val="zh-CN"/>
                <w14:textFill>
                  <w14:solidFill>
                    <w14:schemeClr w14:val="tx1"/>
                  </w14:solidFill>
                </w14:textFill>
              </w:rPr>
            </w:pPr>
            <w:r>
              <w:rPr>
                <w:rFonts w:hint="eastAsia"/>
                <w:b/>
                <w:color w:val="000000" w:themeColor="text1"/>
                <w:sz w:val="24"/>
                <w:lang w:val="zh-CN"/>
                <w14:textFill>
                  <w14:solidFill>
                    <w14:schemeClr w14:val="tx1"/>
                  </w14:solidFill>
                </w14:textFill>
              </w:rPr>
              <w:t>每具灭火器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eastAsia"/>
                <w:b/>
                <w:color w:val="000000" w:themeColor="text1"/>
                <w:sz w:val="24"/>
                <w:lang w:val="zh-CN"/>
                <w14:textFill>
                  <w14:solidFill>
                    <w14:schemeClr w14:val="tx1"/>
                  </w14:solidFill>
                </w14:textFill>
              </w:rPr>
              <w:t>最大保护面积</w:t>
            </w:r>
          </w:p>
        </w:tc>
        <w:tc>
          <w:tcPr>
            <w:tcW w:w="2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lang w:val="zh-CN"/>
                <w14:textFill>
                  <w14:solidFill>
                    <w14:schemeClr w14:val="tx1"/>
                  </w14:solidFill>
                </w14:textFill>
              </w:rPr>
            </w:pPr>
            <w:r>
              <w:rPr>
                <w:rFonts w:hint="eastAsia"/>
                <w:b/>
                <w:color w:val="000000" w:themeColor="text1"/>
                <w:sz w:val="24"/>
                <w:lang w:val="zh-CN"/>
                <w14:textFill>
                  <w14:solidFill>
                    <w14:schemeClr w14:val="tx1"/>
                  </w14:solidFill>
                </w14:textFill>
              </w:rPr>
              <w:t>每具灭火器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000000" w:themeColor="text1"/>
                <w:sz w:val="24"/>
                <w14:textFill>
                  <w14:solidFill>
                    <w14:schemeClr w14:val="tx1"/>
                  </w14:solidFill>
                </w14:textFill>
              </w:rPr>
            </w:pPr>
            <w:r>
              <w:rPr>
                <w:rFonts w:hint="eastAsia"/>
                <w:b/>
                <w:color w:val="000000" w:themeColor="text1"/>
                <w:sz w:val="24"/>
                <w:lang w:val="zh-CN"/>
                <w14:textFill>
                  <w14:solidFill>
                    <w14:schemeClr w14:val="tx1"/>
                  </w14:solidFill>
                </w14:textFill>
              </w:rPr>
              <w:t>最大保护距离</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450" w:hRule="exact"/>
          <w:jc w:val="center"/>
        </w:trPr>
        <w:tc>
          <w:tcPr>
            <w:tcW w:w="21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中危险级</w:t>
            </w:r>
          </w:p>
        </w:tc>
        <w:tc>
          <w:tcPr>
            <w:tcW w:w="2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2A</w:t>
            </w:r>
          </w:p>
        </w:tc>
        <w:tc>
          <w:tcPr>
            <w:tcW w:w="23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 w:val="24"/>
                <w14:textFill>
                  <w14:solidFill>
                    <w14:schemeClr w14:val="tx1"/>
                  </w14:solidFill>
                </w14:textFill>
              </w:rPr>
            </w:pPr>
            <w:r>
              <w:rPr>
                <w:rFonts w:hint="eastAsia"/>
                <w:bCs/>
                <w:color w:val="000000" w:themeColor="text1"/>
                <w:sz w:val="24"/>
                <w:lang w:val="zh-CN"/>
                <w14:textFill>
                  <w14:solidFill>
                    <w14:schemeClr w14:val="tx1"/>
                  </w14:solidFill>
                </w14:textFill>
              </w:rPr>
              <w:t>75㎡/A</w:t>
            </w:r>
          </w:p>
        </w:tc>
        <w:tc>
          <w:tcPr>
            <w:tcW w:w="2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20m</w:t>
            </w:r>
          </w:p>
        </w:tc>
      </w:tr>
    </w:tbl>
    <w:p>
      <w:pPr>
        <w:numPr>
          <w:ilvl w:val="0"/>
          <w:numId w:val="0"/>
        </w:numPr>
        <w:rPr>
          <w:color w:val="000000" w:themeColor="text1"/>
          <w:highlight w:val="none"/>
          <w14:textFill>
            <w14:solidFill>
              <w14:schemeClr w14:val="tx1"/>
            </w14:solidFill>
          </w14:textFill>
        </w:rPr>
      </w:pPr>
    </w:p>
    <w:p>
      <w:pPr>
        <w:pStyle w:val="4"/>
        <w:ind w:firstLine="6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.3.3电气消防</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）本工程在走道、主要出入口、楼梯间设置疏散指示灯及安全出口标志灯，备用照明其照度值大于3Lx，排烟机房等消防设备用房备用照明为正常照度值，走道、主要出入口照度值大于1.0Lx，楼梯间照度值大于5Lx。</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本工程设有防排烟系统，故改造车间内设火灾自动报警系统，采用集中报警系统。火灾自动报警系统包括火灾自动报警系统、消防联动控制系统、火灾应急广播系统、消防直通对讲电话、手动控制盘等系统组成。</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）消防控制室设备设在一层消防控制室内，其入口处设置明显的标志，消防控制室内设有火灾报警控制器、手动控制盘、应急广播设备，中央电脑，消防专用电话总机等。消防控制室内设有直接报警的外线电话。</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系统采用总线制，火灾报警控制器（联动型）所控制的各类模块总数不大于1600点，每条总线回路连接设备的总数不大于200点（其中联动不超过100点，且应留有不少于额定容量10%的余量）。消防联动总线（联动型报警总线）及电源总线上设置总线短路隔离器，每只总线短路隔离器保护的消防设备总数不超过32点，总线穿越防火分区时，应在穿越处设置总线短路隔离器；总线短路隔离器采用树形结构连接。</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各场所设置感烟探测器（部分房间设有感温探测器），探测器与灯具的水平净距应大于0.2m；与嵌入式扬声器的净距应大于0.3m；与自动喷水头的净距应大于0.3m；与墙或其他遮挡物的距离应大于0.5m；当倾斜安装时,倾斜角不应大于45°。探测器的具体定位以结构梁布置图（或建筑吊顶综合图）为准。</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3）在本楼适当位置设带消防电话插孔的手动报警按钮，手动报警按钮底边距地1.40m。</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4）在消火栓箱内设消火栓按钮，接线盒设在消火栓的开门侧，底距地1.80m。</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5）在每个防火分区设手动火灾报警按钮及火灾声光警报器；火灾时火灾自动报警系统同时启动和停止所有火灾声光报警器，火灾声光报警器的声压级不小于60dB。</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6）消防联动控制器应能按设定的控制逻辑向各相关的受控设备发出联动控制信号，并接受相关设备的联动反馈信号。</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7）各受控设备接口的特性参数应与消防联动控制器发出的联动控制信号相匹配。</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8）防烟和排烟风机的控制设备，除应采用联动控制方式外，还应在消控室设置手动直接控制装置。</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9）需要火灾自动报警系统联动控制的消防设备，其联动触发信号应采用两个独立的报警触发装置报警信号的与逻辑组合。</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）消防联动控制设计</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1）火灾警报和消防应急广播系统控制</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火灾声光警报器的声压级不应小于60dB，在环境噪声大于60dB的场所，其声压级应高于背景噪声15dB；在环境噪声大于60dB的场所设置的扬声器，在其播放范围内最远点的播放声压级应高于背景噪声15dB。</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当确认火灾后，应启动建筑内的所有火灾声光警报器；火灾声光警报器应由火灾警报控制器或消防联动控制器控制；火灾声光警报器应具有同一种火灾变调声；火灾自动报警系统应能同时启停所有火灾声光警报器工作。</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应急广播系统的联动控制信号应由消防联动控制器发出；当确认火灾后，应同时向全楼进行广播；在消防控制室应能手动或按预设控制逻辑联动控制选择广播分区、启动或停止应急广播系统，并应能监听消防应急广播；在通过传声器进行应急广播时，应自动对广播内容进行录音；消防控制室内应能显示消防应急广播的广播分区的工作状态。</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火灾声警报器单次发出火灾警报时间为8s-20s, 消防应急广播的单次语音播放时间为10s-30s, 火灾声警报应与消防应急广播交替循环播放，可采取1次火灾声警报器播放、1次或2次消防应急广播播放的交替工作方式循环播放。</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当普通广播与消防应急广播合用时，火灾时应具有强制切入消防应急广播的功能。</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2）消防应急照明和疏散指示系统控制</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系统采用集中电源控制型应急照明和疏散指示系统，应由消防联动控制器联动消防应急照明配电箱实现。当确认火灾后，由发生火灾的报警区域开始，顺序启动全楼疏散通道的消防应急照明和疏散指示系统，系统全部投入应急状态的启动时间不应大于5s。</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3）应急照明控制器的设计</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应急照明控制器设置于消防控制室内，应具有能接收火灾报警控制器或消防联动控制器信号的产品。应急照明控制器应由消防电源供电；控制器的自带蓄电池电源应至少使控制器在主电源中断后工作3h。任一台应急照明控制器直接控制灯具的总数量不应大于3200。 应能接收、显示、保持火灾报警控制器的火灾报警输出信号。具有两种以上疏散指示方案场所中设置的应急照明控制器还应能接收、显示、保持消防联动控制器发出的火灾报警区域信号或联动控制信号。应能按预设逻辑自动、手动控制系统的应急启动。应能接收、显示、保持其配接的灯具、集中电源或应；</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系统线路的选择：系统的配电线路和系统的通信线路应选择阻燃耐火型铜芯导线或电缆。集中电源或应急照明配电箱应按灯具配电回路设置急照明配电箱的工作状态信息。</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系统的控制：系统设置多台应急照明控制器时，应设置一台起其中控制功能的应急照明控制器。应急照明个控制器应通过集中电源或应急照灯具通信回路，且灯具配电回路和灯具通信回路配接的灯具应一致。明配电箱连接灯具，并控制灯具的应急启动、蓄电池电源的转换。集中电源或应急照明配电箱与灯具的通信中断，应急照明控制器与集中电源或应急照明配电箱的通信中断时，非持续型灯具应应急点亮、持续型灯具应由节电点亮模式转入应急点亮模式。非火灾状态下的系统控制：系统正常工作模式下，应保持主电源为灯具供电。系统正常工作模式下，系统内所有非持续型灯具应保持熄灭状态，持续性灯具应保持节电点亮模式。系统主电源断电后，非持续型照明灯应急点亮、持续型灯具由节电点亮模式转入应急点亮模式；灯具持续应急点亮时间应符合设计规定，且不超过0.5h。系统主电源恢复后，系统中的灯具恢复原工作状态；灯具持续点亮时间达到设计规定的时间，且系统主电源仍未恢复供电时，集中电源或应急照明配电箱应连锁其配接灯具的光源熄灭。</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4）防排烟系统的联动控制</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排烟风机、补风机的控制方式应符合下列规定：现场手动启动;火灾自动报警系统自动启动;消防控制室手动启动;系统中任一排烟阀或排烟口开启时，排烟风机、补风机自动启动;排烟防火阀在280℃时应自行关闭，并应连锁关闭排烟风机和补风机。机械排烟系统中的常闭排烟阀或排烟口应具有火灾自动报警系统自动开启、消防控制室手动开启和现场手动开启功能，其开启信号应与排烟风机联动。当火灾确认后，火灾自动报警系统应在15s内联动开启相应防烟分区的全部排烟阀、排烟口、排烟风机和补风设施，并应在30s内自动关闭与排烟无关的通风、空调系统。当火灾确认后，担负两个及以上防烟分区的排烟系统，应仅打开着火防烟分区的排烟阀或排烟口，其他防烟分区的排烟阀或排烟口应呈关闭状态。活动挡烟垂壁应具有火灾自动报警系统自动启动和现场手动启动功能，当火灾确认后，火灾自动报警系统应在15s内联动相应防烟分区的全部活动挡烟垂壁，60s以内挡烟垂壁应开启到位。自动排烟窗可采用与火灾自动报警系统联动和温度释放装置联动的控制方式。当采用与火灾自动报警系统自动启动时，自动排烟窗应在60s内或小于烟气充满储烟仓时间内开启完毕。带有温控功能自动排烟窗，其温控释放温度应大于环境温度30℃且小于100℃。消防控制设备应显示排烟系统的排烟风机、补风机、阀门等设施启闭状态。</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5）消火栓系统的联动控制：由消火栓系统出水干线上设置的低压压力开关作为触发信号，直接控制启动消火栓泵。将消火栓泵的控制箱启动、停止按钮用专用线路直接连至消防控制器的手动控制盘，直接手动控制消火栓泵的启动、停止。</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6）非消防电源</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火灾时消防联动控制器应切断火灾区域及相关区域的非消防电源，强制点亮应急照明灯。</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7）相关联动控制</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消防联动控制器在火灾确认后应切断火灾区域及相关区域的非消防电源，且应在自动喷淋系统、消火栓系统动作前切断正常照明。</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消防联动控制器应具有自动打开涉及疏散的电动栅杆等的功能，应开启视频监控系统摄像机以监视火灾现场。</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）消防专用电话系统</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消防专用电话网络为独立的消防通信系统。系统采用总线制，消防控制室设置消防专用电话总机。</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除在手动报警按钮上设置消防电话插孔外，本建筑在水箱间还设有消防专用电话分机；电话分机应有区别于普通电话的标识，底距地1.4m明装。</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消防控制室设置可直接报警的外线电话。</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）模块的设置</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模块严禁设置在配电（控制）柜（箱）内。</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本报警区域内的模块不应控制其他报警区域的设备。</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本建筑模块在设备附近就地设置，模块附近应有尺寸不小于100mm×100mm的标识。</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）系统供电</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控制室设有双电源切换配电箱，作为主电源供整个系统使用。图形显示装置、消防通信设备配备UPS作为备用电源，此电源设备由设备承包商负责提供；其他设备如火灾报警控制器、消防联动控制器、应急照明控制器等由设备自带的蓄电池作为备用电源。</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消防设备应急电源输出功率应大于火灾自动报警及联动控制系统全负荷功率的120%，蓄电池组的容量应保证火灾自动报警及联动控制系统在火灾状态同时工作负荷条件下连续工作3h以上。</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消防用电设备应采用专用的供电回路，其配电设备应设有明显标志。其配电线路和控制回路宜按防火分区划分。</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lang w:eastAsia="zh-CN"/>
          <w14:textFill>
            <w14:solidFill>
              <w14:schemeClr w14:val="tx1"/>
            </w14:solidFill>
          </w14:textFill>
        </w:rPr>
        <w:t>）系统接地</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消防系统接地利用大楼综合接地装置作为其接地极，要求综合接地电阻不大于1Ω；消防控制室内的电气和电子设备的金属外壳、机柜、机架和金属管、槽等采用等电位连接，消防控制室内设专用接地板；由接地板引至各消防电子设备的专用接地线均选用铜芯BV-1×4-PC20；接地板与建筑接地体之间采用铜芯BV-1×35-PC32连接。</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lang w:eastAsia="zh-CN"/>
          <w14:textFill>
            <w14:solidFill>
              <w14:schemeClr w14:val="tx1"/>
            </w14:solidFill>
          </w14:textFill>
        </w:rPr>
        <w:t>）消防系统线路的选型及敷设方式</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系统线路的选型详见系统图附表，所有线路均为500V耐火铜芯电线电缆。</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竖向电缆明敷在电井内，采用耐火钢制线槽保护；水平线缆穿热镀锌钢管SC暗敷在墙、地面及现浇楼板内，且保护层厚度不小于30mm。线路敷设在线槽上时，线槽内设隔板，将手动（联锁）控制线、消防广播线、消防电话线分别隔开；暗敷时，手动（联锁）控制线、消防广播线、消防电话线均应单独穿管，消防联动总线与消防电源线可共管。</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从接线盒、线槽等处引到探测器底座盒、控制设备盒、扬声器箱的线路，均应加金属保护管保护。</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lang w:eastAsia="zh-CN"/>
          <w14:textFill>
            <w14:solidFill>
              <w14:schemeClr w14:val="tx1"/>
            </w14:solidFill>
          </w14:textFill>
        </w:rPr>
        <w:t>）其他</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火灾自动报警系统的每个回路地址编码总数预留15%-20%的余量。</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系统的成套设备由承包商成套供货，并负责安装、调试。</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lang w:eastAsia="zh-CN"/>
          <w14:textFill>
            <w14:solidFill>
              <w14:schemeClr w14:val="tx1"/>
            </w14:solidFill>
          </w14:textFill>
        </w:rPr>
        <w:t>）本工程设电气火灾监控系统</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系统采用HS-S1000系列电气火灾监控系统，在主要干线处设置保护，总线采用RVVSP2×1.0屏蔽双绞线，系统满足如下功能，探测漏电电流、四项线缆温度、电流、电压信号。故障时只报警不跳闸，漏电报警值设定为：低级500hA，第二级为300hA。</w:t>
      </w:r>
    </w:p>
    <w:p>
      <w:pPr>
        <w:ind w:firstLine="56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lang w:eastAsia="zh-CN"/>
          <w14:textFill>
            <w14:solidFill>
              <w14:schemeClr w14:val="tx1"/>
            </w14:solidFill>
          </w14:textFill>
        </w:rPr>
        <w:t>）消防电源监控系统</w:t>
      </w:r>
    </w:p>
    <w:p>
      <w:pPr>
        <w:ind w:firstLine="56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消防电源监测系统，由消防电源监测监控器，电压信号传感装置组成。本工程在消防设备配电箱、控制箱进线电源处设置消防电源监测装置。消防电源监测器设置在消防控制室内，消防电源监测器的报警信息和故障信息在消防控制室图形显示装置上显示，但该类信息与火灾报警信息的显示有区别，同时将报警信号送至配变电所显示。消防电源监测器的设备不影响供电系统的正常工作，不切断供电电源。消防电源监测器可发出声光报警信号，报出故障位置，监视故障点变化。本系统从消防控制室至各配电箱及控制箱之间的通信线路，预留管线SC20热镀锌钢管。</w:t>
      </w:r>
    </w:p>
    <w:p>
      <w:pPr>
        <w:pStyle w:val="3"/>
        <w:spacing w:before="192" w:after="216"/>
        <w:rPr>
          <w:color w:val="000000" w:themeColor="text1"/>
          <w:highlight w:val="none"/>
          <w14:textFill>
            <w14:solidFill>
              <w14:schemeClr w14:val="tx1"/>
            </w14:solidFill>
          </w14:textFill>
        </w:rPr>
      </w:pPr>
      <w:bookmarkStart w:id="299" w:name="_Toc435196611"/>
      <w:bookmarkStart w:id="300" w:name="_Toc413831569"/>
      <w:bookmarkStart w:id="301" w:name="_Toc1157"/>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.4卫生</w:t>
      </w:r>
      <w:bookmarkEnd w:id="299"/>
      <w:bookmarkEnd w:id="300"/>
      <w:bookmarkEnd w:id="301"/>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w:t>
      </w:r>
      <w:r>
        <w:rPr>
          <w:rFonts w:hint="eastAsia"/>
          <w:color w:val="000000" w:themeColor="text1"/>
          <w:highlight w:val="none"/>
          <w:lang w:eastAsia="zh-CN"/>
          <w14:textFill>
            <w14:solidFill>
              <w14:schemeClr w14:val="tx1"/>
            </w14:solidFill>
          </w14:textFill>
        </w:rPr>
        <w:t>食品加工类建设项目</w:t>
      </w:r>
      <w:r>
        <w:rPr>
          <w:rFonts w:hint="eastAsia"/>
          <w:color w:val="000000" w:themeColor="text1"/>
          <w:highlight w:val="none"/>
          <w14:textFill>
            <w14:solidFill>
              <w14:schemeClr w14:val="tx1"/>
            </w14:solidFill>
          </w14:textFill>
        </w:rPr>
        <w:t>，其环境卫生和产品的卫生情况将直接影响产品质量和市场信誉。因此，项目中的卫生设施和管理制度建设必须与项目同规划、同实施，使清洁卫生指标作为生产管理和质量标准的主要组成部分落到实处。</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根据《关于生产性建设项目职工卫生监督暂行规定》（劳字〔1998〕48号文）、《食品基地通用卫生规范》（GB</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14881-94）等国家有关规定和法则，对于青稞加工的每项工序的生产流程和环节都应严格按规定执行。从原料、辅料进厂按食品加工业的要求从进厂经处理加工到</w:t>
      </w:r>
      <w:r>
        <w:rPr>
          <w:rFonts w:hint="eastAsia"/>
          <w:color w:val="000000" w:themeColor="text1"/>
          <w:highlight w:val="none"/>
          <w:lang w:eastAsia="zh-CN"/>
          <w14:textFill>
            <w14:solidFill>
              <w14:schemeClr w14:val="tx1"/>
            </w14:solidFill>
          </w14:textFill>
        </w:rPr>
        <w:t>成</w:t>
      </w:r>
      <w:r>
        <w:rPr>
          <w:rFonts w:hint="eastAsia"/>
          <w:color w:val="000000" w:themeColor="text1"/>
          <w:highlight w:val="none"/>
          <w14:textFill>
            <w14:solidFill>
              <w14:schemeClr w14:val="tx1"/>
            </w14:solidFill>
          </w14:textFill>
        </w:rPr>
        <w:t>品出厂，必须严格检验，并按相应规范进行</w:t>
      </w:r>
      <w:r>
        <w:rPr>
          <w:rFonts w:hint="eastAsia"/>
          <w:color w:val="000000" w:themeColor="text1"/>
          <w:highlight w:val="none"/>
          <w:lang w:eastAsia="zh-CN"/>
          <w14:textFill>
            <w14:solidFill>
              <w14:schemeClr w14:val="tx1"/>
            </w14:solidFill>
          </w14:textFill>
        </w:rPr>
        <w:t>严格</w:t>
      </w:r>
      <w:r>
        <w:rPr>
          <w:rFonts w:hint="eastAsia"/>
          <w:color w:val="000000" w:themeColor="text1"/>
          <w:highlight w:val="none"/>
          <w14:textFill>
            <w14:solidFill>
              <w14:schemeClr w14:val="tx1"/>
            </w14:solidFill>
          </w14:textFill>
        </w:rPr>
        <w:t>监测。上岗人员应进行健康检查，保持个人清洁卫生，定期对职工进行卫生教育。</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具体内容如下：</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（1）加工车间的采光、通风、卫生要求均按《工业企业卫生设计标准》规定执行。</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（2）车间地坪和屋顶作防尘和防凝结水滴处理，防止灰尘和凝聚的水滴污染中间产品。</w:t>
      </w:r>
    </w:p>
    <w:p>
      <w:pPr>
        <w:ind w:firstLine="56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加工车间必须经常进行清洗和消毒，并在车间入口安装紫外线光灭菌灯，进行灭菌处理，杀灭病原菌和昆虫，为产品加工提供卫生洁净的环境。生产车间不得带入或存放个人生活用品，如衣物、食品、烟酒、药品、化妆品等。</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（4）生产加工应遵守工艺规程，场地要保持清洁。</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（5）生产加工用水水质应符合《生活饮用水卫生标准》（GB</w:t>
      </w:r>
      <w:r>
        <w:rPr>
          <w:rFonts w:hint="eastAsia" w:ascii="仿宋_GB2312" w:eastAsia="仿宋_GB2312"/>
          <w:color w:val="000000" w:themeColor="text1"/>
          <w:szCs w:val="28"/>
          <w:highlight w:val="none"/>
          <w:lang w:val="en-US" w:eastAsia="zh-CN"/>
          <w14:textFill>
            <w14:solidFill>
              <w14:schemeClr w14:val="tx1"/>
            </w14:solidFill>
          </w14:textFill>
        </w:rPr>
        <w:t xml:space="preserve"> </w:t>
      </w:r>
      <w:r>
        <w:rPr>
          <w:rFonts w:hint="eastAsia" w:ascii="仿宋_GB2312" w:eastAsia="仿宋_GB2312"/>
          <w:color w:val="000000" w:themeColor="text1"/>
          <w:szCs w:val="28"/>
          <w:highlight w:val="none"/>
          <w14:textFill>
            <w14:solidFill>
              <w14:schemeClr w14:val="tx1"/>
            </w14:solidFill>
          </w14:textFill>
        </w:rPr>
        <w:t>5749-2006)标准的规定。</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（6）直接与原料、半成品和成品接触的人员不准戴耳环、戒指、手镯</w:t>
      </w:r>
      <w:r>
        <w:rPr>
          <w:rFonts w:hint="eastAsia" w:ascii="仿宋_GB2312" w:eastAsia="仿宋_GB2312"/>
          <w:color w:val="000000" w:themeColor="text1"/>
          <w:szCs w:val="28"/>
          <w:highlight w:val="none"/>
          <w:lang w:eastAsia="zh-CN"/>
          <w14:textFill>
            <w14:solidFill>
              <w14:schemeClr w14:val="tx1"/>
            </w14:solidFill>
          </w14:textFill>
        </w:rPr>
        <w:t>、</w:t>
      </w:r>
      <w:r>
        <w:rPr>
          <w:rFonts w:hint="eastAsia" w:ascii="仿宋_GB2312" w:eastAsia="仿宋_GB2312"/>
          <w:color w:val="000000" w:themeColor="text1"/>
          <w:szCs w:val="28"/>
          <w:highlight w:val="none"/>
          <w14:textFill>
            <w14:solidFill>
              <w14:schemeClr w14:val="tx1"/>
            </w14:solidFill>
          </w14:textFill>
        </w:rPr>
        <w:t>项链、手表，不准浓艳化妆、染指甲、喷洒香水进入车间。手接触脏物、进厕所、吸烟、用餐后，都必须把双手洗净才能进行工作。操作人员手部受到外伤，不得接触食品或原料，经过包扎治疗戴上防护手套后，方可参加不直接接触食品的工作。</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（7）各工作人员要定期</w:t>
      </w:r>
      <w:r>
        <w:rPr>
          <w:rFonts w:hint="eastAsia" w:ascii="仿宋_GB2312" w:eastAsia="仿宋_GB2312"/>
          <w:color w:val="000000" w:themeColor="text1"/>
          <w:szCs w:val="28"/>
          <w:highlight w:val="none"/>
          <w:lang w:eastAsia="zh-CN"/>
          <w14:textFill>
            <w14:solidFill>
              <w14:schemeClr w14:val="tx1"/>
            </w14:solidFill>
          </w14:textFill>
        </w:rPr>
        <w:t>做</w:t>
      </w:r>
      <w:r>
        <w:rPr>
          <w:rFonts w:hint="eastAsia" w:ascii="仿宋_GB2312" w:eastAsia="仿宋_GB2312"/>
          <w:color w:val="000000" w:themeColor="text1"/>
          <w:szCs w:val="28"/>
          <w:highlight w:val="none"/>
          <w14:textFill>
            <w14:solidFill>
              <w14:schemeClr w14:val="tx1"/>
            </w14:solidFill>
          </w14:textFill>
        </w:rPr>
        <w:t>身体检查，招收各类人员时，必须把身体健康状况作为第一位的标准进行考虑。生产一线工人和技术人员要定期进行体检，发现肝炎、肺结核、淋巴结核等传染病时，要及时治疗，在传染期要禁止上岗作业，治愈后再上岗。</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（8）厂内建立健全卫生消毒制度。工作人员所戴用的工作服、帽、鞋、手套、口罩等要定期消毒、灭菌处理。</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（9）加工车间的门、窗必须设纱网，以防尘、防蚊和其他昆虫；库里有防鼠、防蚊、防蝇设施。</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（10）经常对职工进行产品质量、卫生标准、防病、保健知识教育，增强广大职工的质量观念和讲究卫生的意识，养成安全生产、文明生产的习惯，认真贯彻国家有关食品安全的各项法律法规，严格按照有机农</w:t>
      </w:r>
      <w:r>
        <w:rPr>
          <w:rFonts w:hint="eastAsia" w:ascii="仿宋_GB2312" w:eastAsia="仿宋_GB2312"/>
          <w:color w:val="000000" w:themeColor="text1"/>
          <w:szCs w:val="28"/>
          <w:highlight w:val="none"/>
          <w:lang w:eastAsia="zh-CN"/>
          <w14:textFill>
            <w14:solidFill>
              <w14:schemeClr w14:val="tx1"/>
            </w14:solidFill>
          </w14:textFill>
        </w:rPr>
        <w:t>产品</w:t>
      </w:r>
      <w:r>
        <w:rPr>
          <w:rFonts w:hint="eastAsia" w:ascii="仿宋_GB2312" w:eastAsia="仿宋_GB2312"/>
          <w:color w:val="000000" w:themeColor="text1"/>
          <w:szCs w:val="28"/>
          <w:highlight w:val="none"/>
          <w14:textFill>
            <w14:solidFill>
              <w14:schemeClr w14:val="tx1"/>
            </w14:solidFill>
          </w14:textFill>
        </w:rPr>
        <w:t>及加工、贮运、销售等环节技术规范《食品企业通用卫生规范》（GB</w:t>
      </w:r>
      <w:r>
        <w:rPr>
          <w:rFonts w:hint="eastAsia" w:ascii="仿宋_GB2312" w:eastAsia="仿宋_GB2312"/>
          <w:color w:val="000000" w:themeColor="text1"/>
          <w:szCs w:val="28"/>
          <w:highlight w:val="none"/>
          <w:lang w:val="en-US" w:eastAsia="zh-CN"/>
          <w14:textFill>
            <w14:solidFill>
              <w14:schemeClr w14:val="tx1"/>
            </w14:solidFill>
          </w14:textFill>
        </w:rPr>
        <w:t xml:space="preserve"> </w:t>
      </w:r>
      <w:r>
        <w:rPr>
          <w:rFonts w:hint="eastAsia" w:ascii="仿宋_GB2312" w:eastAsia="仿宋_GB2312"/>
          <w:color w:val="000000" w:themeColor="text1"/>
          <w:szCs w:val="28"/>
          <w:highlight w:val="none"/>
          <w14:textFill>
            <w14:solidFill>
              <w14:schemeClr w14:val="tx1"/>
            </w14:solidFill>
          </w14:textFill>
        </w:rPr>
        <w:t>14881-2013）的要求，严格管理，精心操作，按规程办事，并作好可追溯的记录，确保产品质量和安全卫生指标的落实。不断提高产品的安全卫生水平。</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（11）食品包装物应符合国家卫生标准和卫生管理办法。</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（12）区内废弃物临时存放处应远离加工车间。</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（13）加工车间的设备、工器具、操作台应经常清洗和进行必要的消毒。</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（14）对职工要进行经常性卫生教育，定期体检，有传染病的员工不得</w:t>
      </w:r>
      <w:r>
        <w:rPr>
          <w:rFonts w:hint="eastAsia" w:ascii="仿宋_GB2312" w:eastAsia="仿宋_GB2312"/>
          <w:color w:val="000000" w:themeColor="text1"/>
          <w:szCs w:val="28"/>
          <w:highlight w:val="none"/>
          <w:lang w:eastAsia="zh-CN"/>
          <w14:textFill>
            <w14:solidFill>
              <w14:schemeClr w14:val="tx1"/>
            </w14:solidFill>
          </w14:textFill>
        </w:rPr>
        <w:t>聘</w:t>
      </w:r>
      <w:r>
        <w:rPr>
          <w:rFonts w:hint="eastAsia" w:ascii="仿宋_GB2312" w:eastAsia="仿宋_GB2312"/>
          <w:color w:val="000000" w:themeColor="text1"/>
          <w:szCs w:val="28"/>
          <w:highlight w:val="none"/>
          <w14:textFill>
            <w14:solidFill>
              <w14:schemeClr w14:val="tx1"/>
            </w14:solidFill>
          </w14:textFill>
        </w:rPr>
        <w:t>用</w:t>
      </w:r>
      <w:r>
        <w:rPr>
          <w:rFonts w:hint="eastAsia" w:ascii="仿宋_GB2312" w:eastAsia="仿宋_GB2312"/>
          <w:color w:val="000000" w:themeColor="text1"/>
          <w:szCs w:val="28"/>
          <w:highlight w:val="none"/>
          <w:lang w:eastAsia="zh-CN"/>
          <w14:textFill>
            <w14:solidFill>
              <w14:schemeClr w14:val="tx1"/>
            </w14:solidFill>
          </w14:textFill>
        </w:rPr>
        <w:t>，</w:t>
      </w:r>
      <w:r>
        <w:rPr>
          <w:rFonts w:hint="eastAsia" w:ascii="仿宋_GB2312" w:eastAsia="仿宋_GB2312"/>
          <w:color w:val="000000" w:themeColor="text1"/>
          <w:szCs w:val="28"/>
          <w:highlight w:val="none"/>
          <w14:textFill>
            <w14:solidFill>
              <w14:schemeClr w14:val="tx1"/>
            </w14:solidFill>
          </w14:textFill>
        </w:rPr>
        <w:t>与生产无关人员不得进入生产区。</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（15）在厂区附近不允许有臭水沟、垃圾堆或其他有碍卫生的场所。</w:t>
      </w:r>
    </w:p>
    <w:p>
      <w:pPr>
        <w:pStyle w:val="3"/>
        <w:spacing w:before="192" w:after="216"/>
        <w:rPr>
          <w:rFonts w:hint="eastAsia"/>
          <w:color w:val="000000" w:themeColor="text1"/>
          <w:highlight w:val="none"/>
          <w14:textFill>
            <w14:solidFill>
              <w14:schemeClr w14:val="tx1"/>
            </w14:solidFill>
          </w14:textFill>
        </w:rPr>
      </w:pPr>
      <w:bookmarkStart w:id="302" w:name="_Toc435196612"/>
      <w:bookmarkStart w:id="303" w:name="_Toc12718"/>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.5生产过程的食品安全控制</w:t>
      </w:r>
      <w:bookmarkEnd w:id="302"/>
      <w:bookmarkEnd w:id="303"/>
    </w:p>
    <w:p>
      <w:pPr>
        <w:pStyle w:val="4"/>
        <w:ind w:firstLine="6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10.5.1</w:t>
      </w:r>
      <w:r>
        <w:rPr>
          <w:rFonts w:hint="eastAsia"/>
          <w:color w:val="000000" w:themeColor="text1"/>
          <w:highlight w:val="none"/>
          <w14:textFill>
            <w14:solidFill>
              <w14:schemeClr w14:val="tx1"/>
            </w14:solidFill>
          </w14:textFill>
        </w:rPr>
        <w:t>加工过程的微生物监控</w:t>
      </w:r>
    </w:p>
    <w:p>
      <w:pPr>
        <w:pStyle w:val="39"/>
        <w:ind w:firstLine="420" w:firstLineChars="200"/>
        <w:rPr>
          <w:rFonts w:hint="eastAsia"/>
          <w:color w:val="000000" w:themeColor="text1"/>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建立啤酒加工过程的微生物监控程序,包括生产环境的微生物监控和过程中的微生物监控</w:t>
      </w:r>
      <w:r>
        <w:rPr>
          <w:rFonts w:hint="eastAsia"/>
          <w:color w:val="000000" w:themeColor="text1"/>
          <w:highlight w:val="none"/>
          <w14:textFill>
            <w14:solidFill>
              <w14:schemeClr w14:val="tx1"/>
            </w14:solidFill>
          </w14:textFill>
        </w:rPr>
        <w:t>。</w:t>
      </w:r>
    </w:p>
    <w:p>
      <w:pPr>
        <w:pStyle w:val="4"/>
        <w:ind w:firstLine="6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10.5.2包装</w:t>
      </w:r>
    </w:p>
    <w:p>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回收瓶应经过洗瓶并逐一检查(验瓶)合格后方可进行灌装。</w:t>
      </w:r>
    </w:p>
    <w:p>
      <w:pPr>
        <w:bidi w:val="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应建立有效的灌装清洗及消毒方法和制度,确保灌装场所、设备、管路清洁卫生。</w:t>
      </w:r>
    </w:p>
    <w:p>
      <w:pPr>
        <w:pStyle w:val="4"/>
        <w:ind w:firstLine="6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10.5.3杀菌</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）建立杀菌或除菌工艺标准及杀菌或除菌设备的定期清洗管理制度,做好相关工艺记录,记录内容应完整、真实,确保可进行有效追溯；（</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）鲜啤酒、生啤酒可使用低温膜过滤等物理方法除菌;熟啤酒可采用巴氏杀菌法或瞬时高温灭菌;</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）对啤酒杀菌(除菌)的有效性进行监控和验证；</w:t>
      </w:r>
    </w:p>
    <w:p>
      <w:pPr>
        <w:bidi w:val="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）杀菌后的成品啤酒应达到必需的生物稳定性。</w:t>
      </w:r>
    </w:p>
    <w:p>
      <w:pPr>
        <w:ind w:firstLine="560"/>
        <w:rPr>
          <w:color w:val="000000" w:themeColor="text1"/>
          <w:highlight w:val="none"/>
          <w14:textFill>
            <w14:solidFill>
              <w14:schemeClr w14:val="tx1"/>
            </w14:solidFill>
          </w14:textFill>
        </w:rPr>
      </w:pPr>
    </w:p>
    <w:p>
      <w:pPr>
        <w:pStyle w:val="2"/>
        <w:keepNext w:val="0"/>
        <w:keepLines w:val="0"/>
        <w:ind w:firstLine="723"/>
        <w:rPr>
          <w:rFonts w:cs="Times New Roman"/>
          <w:color w:val="000000" w:themeColor="text1"/>
          <w:szCs w:val="36"/>
          <w:highlight w:val="none"/>
          <w14:textFill>
            <w14:solidFill>
              <w14:schemeClr w14:val="tx1"/>
            </w14:solidFill>
          </w14:textFill>
        </w:rPr>
      </w:pPr>
      <w:bookmarkStart w:id="304" w:name="_Toc23030"/>
      <w:bookmarkStart w:id="305" w:name="_Toc16049"/>
      <w:r>
        <w:rPr>
          <w:rFonts w:cs="Times New Roman"/>
          <w:color w:val="000000" w:themeColor="text1"/>
          <w:szCs w:val="36"/>
          <w:highlight w:val="none"/>
          <w14:textFill>
            <w14:solidFill>
              <w14:schemeClr w14:val="tx1"/>
            </w14:solidFill>
          </w14:textFill>
        </w:rPr>
        <w:t>第1</w:t>
      </w:r>
      <w:r>
        <w:rPr>
          <w:rFonts w:hint="eastAsia" w:cs="Times New Roman"/>
          <w:color w:val="000000" w:themeColor="text1"/>
          <w:szCs w:val="36"/>
          <w:highlight w:val="none"/>
          <w:lang w:val="en-US" w:eastAsia="zh-CN"/>
          <w14:textFill>
            <w14:solidFill>
              <w14:schemeClr w14:val="tx1"/>
            </w14:solidFill>
          </w14:textFill>
        </w:rPr>
        <w:t>1</w:t>
      </w:r>
      <w:r>
        <w:rPr>
          <w:rFonts w:cs="Times New Roman"/>
          <w:color w:val="000000" w:themeColor="text1"/>
          <w:szCs w:val="36"/>
          <w:highlight w:val="none"/>
          <w14:textFill>
            <w14:solidFill>
              <w14:schemeClr w14:val="tx1"/>
            </w14:solidFill>
          </w14:textFill>
        </w:rPr>
        <w:t>章  项目实施进度计划</w:t>
      </w:r>
      <w:bookmarkEnd w:id="304"/>
      <w:bookmarkEnd w:id="305"/>
    </w:p>
    <w:p>
      <w:pPr>
        <w:pStyle w:val="3"/>
        <w:spacing w:before="192" w:after="216"/>
        <w:rPr>
          <w:color w:val="000000" w:themeColor="text1"/>
          <w:highlight w:val="none"/>
          <w14:textFill>
            <w14:solidFill>
              <w14:schemeClr w14:val="tx1"/>
            </w14:solidFill>
          </w14:textFill>
        </w:rPr>
      </w:pPr>
      <w:bookmarkStart w:id="306" w:name="_Toc7626"/>
      <w:bookmarkStart w:id="307" w:name="_Toc15009"/>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.1建设工期</w:t>
      </w:r>
      <w:bookmarkEnd w:id="306"/>
      <w:bookmarkEnd w:id="307"/>
    </w:p>
    <w:p>
      <w:pPr>
        <w:ind w:firstLine="560"/>
        <w:rPr>
          <w:color w:val="000000" w:themeColor="text1"/>
          <w:highlight w:val="none"/>
          <w14:textFill>
            <w14:solidFill>
              <w14:schemeClr w14:val="tx1"/>
            </w14:solidFill>
          </w14:textFill>
        </w:rPr>
      </w:pPr>
      <w:r>
        <w:rPr>
          <w:color w:val="000000" w:themeColor="text1"/>
          <w:highlight w:val="none"/>
          <w:lang w:val="zh-CN"/>
          <w14:textFill>
            <w14:solidFill>
              <w14:schemeClr w14:val="tx1"/>
            </w14:solidFill>
          </w14:textFill>
        </w:rPr>
        <w:t>根据实际情况和以往经验，本项目建设期初步安排为</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lang w:val="zh-CN"/>
          <w14:textFill>
            <w14:solidFill>
              <w14:schemeClr w14:val="tx1"/>
            </w14:solidFill>
          </w14:textFill>
        </w:rPr>
        <w:t>个月，即从</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color w:val="000000" w:themeColor="text1"/>
          <w:highlight w:val="none"/>
          <w:lang w:val="zh-CN"/>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lang w:val="zh-CN"/>
          <w14:textFill>
            <w14:solidFill>
              <w14:schemeClr w14:val="tx1"/>
            </w14:solidFill>
          </w14:textFill>
        </w:rPr>
        <w:t>月开始至</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w:t>
      </w:r>
      <w:r>
        <w:rPr>
          <w:color w:val="000000" w:themeColor="text1"/>
          <w:highlight w:val="none"/>
          <w:lang w:val="zh-CN"/>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8</w:t>
      </w:r>
      <w:r>
        <w:rPr>
          <w:color w:val="000000" w:themeColor="text1"/>
          <w:highlight w:val="none"/>
          <w:lang w:val="zh-CN"/>
          <w14:textFill>
            <w14:solidFill>
              <w14:schemeClr w14:val="tx1"/>
            </w14:solidFill>
          </w14:textFill>
        </w:rPr>
        <w:t>月结束</w:t>
      </w:r>
      <w:r>
        <w:rPr>
          <w:rFonts w:hint="eastAsia"/>
          <w:color w:val="000000" w:themeColor="text1"/>
          <w:highlight w:val="none"/>
          <w:lang w:val="zh-CN"/>
          <w14:textFill>
            <w14:solidFill>
              <w14:schemeClr w14:val="tx1"/>
            </w14:solidFill>
          </w14:textFill>
        </w:rPr>
        <w:t>。</w:t>
      </w:r>
    </w:p>
    <w:p>
      <w:pPr>
        <w:pStyle w:val="3"/>
        <w:spacing w:before="192" w:after="216"/>
        <w:rPr>
          <w:color w:val="000000" w:themeColor="text1"/>
          <w:highlight w:val="none"/>
          <w14:textFill>
            <w14:solidFill>
              <w14:schemeClr w14:val="tx1"/>
            </w14:solidFill>
          </w14:textFill>
        </w:rPr>
      </w:pPr>
      <w:bookmarkStart w:id="308" w:name="_Toc27253"/>
      <w:bookmarkStart w:id="309" w:name="_Toc31897"/>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.2项目进度安排</w:t>
      </w:r>
      <w:bookmarkEnd w:id="308"/>
      <w:bookmarkEnd w:id="309"/>
    </w:p>
    <w:p>
      <w:pPr>
        <w:ind w:firstLine="560"/>
        <w:rPr>
          <w:color w:val="000000" w:themeColor="text1"/>
          <w:highlight w:val="none"/>
          <w14:textFill>
            <w14:solidFill>
              <w14:schemeClr w14:val="tx1"/>
            </w14:solidFill>
          </w14:textFill>
        </w:rPr>
      </w:pPr>
      <w:bookmarkStart w:id="310" w:name="_Toc127074924"/>
      <w:r>
        <w:rPr>
          <w:rFonts w:hint="eastAsia"/>
          <w:color w:val="000000" w:themeColor="text1"/>
          <w:highlight w:val="none"/>
          <w14:textFill>
            <w14:solidFill>
              <w14:schemeClr w14:val="tx1"/>
            </w14:solidFill>
          </w14:textFill>
        </w:rPr>
        <w:t>本项目计划用</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个月时间完成，具体时间安排如下所示：</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1</w:t>
      </w:r>
      <w:r>
        <w:rPr>
          <w:rFonts w:hint="eastAsia" w:cs="宋体"/>
          <w:color w:val="000000" w:themeColor="text1"/>
          <w:szCs w:val="28"/>
          <w:highlight w:val="none"/>
          <w:lang w:val="zh-CN"/>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9</w:t>
      </w:r>
      <w:r>
        <w:rPr>
          <w:rFonts w:hint="eastAsia" w:cs="宋体"/>
          <w:color w:val="000000" w:themeColor="text1"/>
          <w:szCs w:val="28"/>
          <w:highlight w:val="none"/>
          <w:lang w:val="zh-CN"/>
          <w14:textFill>
            <w14:solidFill>
              <w14:schemeClr w14:val="tx1"/>
            </w14:solidFill>
          </w14:textFill>
        </w:rPr>
        <w:t>月：完成工</w:t>
      </w:r>
      <w:r>
        <w:rPr>
          <w:rFonts w:hint="eastAsia"/>
          <w:color w:val="000000" w:themeColor="text1"/>
          <w:highlight w:val="none"/>
          <w:lang w:val="zh-CN" w:eastAsia="zh-CN"/>
          <w14:textFill>
            <w14:solidFill>
              <w14:schemeClr w14:val="tx1"/>
            </w14:solidFill>
          </w14:textFill>
        </w:rPr>
        <w:t>程</w:t>
      </w:r>
      <w:r>
        <w:rPr>
          <w:rFonts w:hint="eastAsia"/>
          <w:color w:val="000000" w:themeColor="text1"/>
          <w:highlight w:val="none"/>
          <w:lang w:val="en-US" w:eastAsia="zh-CN"/>
          <w14:textFill>
            <w14:solidFill>
              <w14:schemeClr w14:val="tx1"/>
            </w14:solidFill>
          </w14:textFill>
        </w:rPr>
        <w:t>实施方案</w:t>
      </w:r>
      <w:r>
        <w:rPr>
          <w:rFonts w:hint="eastAsia"/>
          <w:color w:val="000000" w:themeColor="text1"/>
          <w:highlight w:val="none"/>
          <w:lang w:val="zh-CN" w:eastAsia="zh-CN"/>
          <w14:textFill>
            <w14:solidFill>
              <w14:schemeClr w14:val="tx1"/>
            </w14:solidFill>
          </w14:textFill>
        </w:rPr>
        <w:t>编制及审批工作；</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1</w:t>
      </w:r>
      <w:r>
        <w:rPr>
          <w:rFonts w:hint="eastAsia" w:cs="宋体"/>
          <w:color w:val="000000" w:themeColor="text1"/>
          <w:szCs w:val="28"/>
          <w:highlight w:val="none"/>
          <w:lang w:val="zh-CN"/>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10</w:t>
      </w:r>
      <w:r>
        <w:rPr>
          <w:rFonts w:hint="eastAsia" w:cs="宋体"/>
          <w:color w:val="000000" w:themeColor="text1"/>
          <w:szCs w:val="28"/>
          <w:highlight w:val="none"/>
          <w:lang w:val="zh-CN"/>
          <w14:textFill>
            <w14:solidFill>
              <w14:schemeClr w14:val="tx1"/>
            </w14:solidFill>
          </w14:textFill>
        </w:rPr>
        <w:t>月：完成施工图设计及审查工作；</w:t>
      </w:r>
    </w:p>
    <w:p>
      <w:pPr>
        <w:ind w:firstLine="560"/>
        <w:rPr>
          <w:rFonts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1</w:t>
      </w:r>
      <w:r>
        <w:rPr>
          <w:rFonts w:hint="eastAsia" w:cs="宋体"/>
          <w:color w:val="000000" w:themeColor="text1"/>
          <w:szCs w:val="28"/>
          <w:highlight w:val="none"/>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11</w:t>
      </w:r>
      <w:r>
        <w:rPr>
          <w:rFonts w:hint="eastAsia" w:cs="宋体"/>
          <w:color w:val="000000" w:themeColor="text1"/>
          <w:szCs w:val="28"/>
          <w:highlight w:val="none"/>
          <w14:textFill>
            <w14:solidFill>
              <w14:schemeClr w14:val="tx1"/>
            </w14:solidFill>
          </w14:textFill>
        </w:rPr>
        <w:t>月</w:t>
      </w:r>
      <w:r>
        <w:rPr>
          <w:rFonts w:hint="eastAsia" w:cs="宋体"/>
          <w:color w:val="000000" w:themeColor="text1"/>
          <w:szCs w:val="28"/>
          <w:highlight w:val="none"/>
          <w:lang w:val="zh-CN"/>
          <w14:textFill>
            <w14:solidFill>
              <w14:schemeClr w14:val="tx1"/>
            </w14:solidFill>
          </w14:textFill>
        </w:rPr>
        <w:t>：完成招投标工作；</w:t>
      </w:r>
    </w:p>
    <w:p>
      <w:pPr>
        <w:ind w:firstLine="560"/>
        <w:rPr>
          <w:rFonts w:hint="eastAsia"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1</w:t>
      </w:r>
      <w:r>
        <w:rPr>
          <w:rFonts w:hint="eastAsia" w:cs="宋体"/>
          <w:color w:val="000000" w:themeColor="text1"/>
          <w:szCs w:val="28"/>
          <w:highlight w:val="none"/>
          <w:lang w:val="zh-CN"/>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12</w:t>
      </w:r>
      <w:r>
        <w:rPr>
          <w:rFonts w:hint="eastAsia" w:cs="宋体"/>
          <w:color w:val="000000" w:themeColor="text1"/>
          <w:szCs w:val="28"/>
          <w:highlight w:val="none"/>
          <w:lang w:val="zh-CN"/>
          <w14:textFill>
            <w14:solidFill>
              <w14:schemeClr w14:val="tx1"/>
            </w14:solidFill>
          </w14:textFill>
        </w:rPr>
        <w:t>月～</w:t>
      </w: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2</w:t>
      </w:r>
      <w:r>
        <w:rPr>
          <w:rFonts w:hint="eastAsia" w:cs="宋体"/>
          <w:color w:val="000000" w:themeColor="text1"/>
          <w:szCs w:val="28"/>
          <w:highlight w:val="none"/>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6</w:t>
      </w:r>
      <w:r>
        <w:rPr>
          <w:rFonts w:hint="eastAsia" w:cs="宋体"/>
          <w:color w:val="000000" w:themeColor="text1"/>
          <w:szCs w:val="28"/>
          <w:highlight w:val="none"/>
          <w:lang w:val="zh-CN"/>
          <w14:textFill>
            <w14:solidFill>
              <w14:schemeClr w14:val="tx1"/>
            </w14:solidFill>
          </w14:textFill>
        </w:rPr>
        <w:t>月：完成本项目施工工作；</w:t>
      </w:r>
    </w:p>
    <w:p>
      <w:pPr>
        <w:bidi w:val="0"/>
        <w:rPr>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2022年7月：</w:t>
      </w:r>
      <w:r>
        <w:rPr>
          <w:rFonts w:hint="eastAsia"/>
          <w:color w:val="000000" w:themeColor="text1"/>
          <w:lang w:val="zh-CN"/>
          <w14:textFill>
            <w14:solidFill>
              <w14:schemeClr w14:val="tx1"/>
            </w14:solidFill>
          </w14:textFill>
        </w:rPr>
        <w:t>完成设备安装调试工作；</w:t>
      </w:r>
    </w:p>
    <w:p>
      <w:pPr>
        <w:ind w:firstLine="560"/>
        <w:rPr>
          <w:rFonts w:hint="eastAsia" w:cs="宋体"/>
          <w:color w:val="000000" w:themeColor="text1"/>
          <w:szCs w:val="28"/>
          <w:highlight w:val="none"/>
          <w:lang w:val="zh-CN"/>
          <w14:textFill>
            <w14:solidFill>
              <w14:schemeClr w14:val="tx1"/>
            </w14:solidFill>
          </w14:textFill>
        </w:rPr>
      </w:pPr>
      <w:r>
        <w:rPr>
          <w:rFonts w:hint="eastAsia" w:cs="宋体"/>
          <w:color w:val="000000" w:themeColor="text1"/>
          <w:szCs w:val="28"/>
          <w:highlight w:val="none"/>
          <w14:textFill>
            <w14:solidFill>
              <w14:schemeClr w14:val="tx1"/>
            </w14:solidFill>
          </w14:textFill>
        </w:rPr>
        <w:t>202</w:t>
      </w:r>
      <w:r>
        <w:rPr>
          <w:rFonts w:hint="eastAsia" w:cs="宋体"/>
          <w:color w:val="000000" w:themeColor="text1"/>
          <w:szCs w:val="28"/>
          <w:highlight w:val="none"/>
          <w:lang w:val="en-US" w:eastAsia="zh-CN"/>
          <w14:textFill>
            <w14:solidFill>
              <w14:schemeClr w14:val="tx1"/>
            </w14:solidFill>
          </w14:textFill>
        </w:rPr>
        <w:t>2</w:t>
      </w:r>
      <w:r>
        <w:rPr>
          <w:rFonts w:hint="eastAsia" w:cs="宋体"/>
          <w:color w:val="000000" w:themeColor="text1"/>
          <w:szCs w:val="28"/>
          <w:highlight w:val="none"/>
          <w:lang w:val="zh-CN"/>
          <w14:textFill>
            <w14:solidFill>
              <w14:schemeClr w14:val="tx1"/>
            </w14:solidFill>
          </w14:textFill>
        </w:rPr>
        <w:t>年</w:t>
      </w:r>
      <w:r>
        <w:rPr>
          <w:rFonts w:hint="eastAsia" w:cs="宋体"/>
          <w:color w:val="000000" w:themeColor="text1"/>
          <w:szCs w:val="28"/>
          <w:highlight w:val="none"/>
          <w:lang w:val="en-US" w:eastAsia="zh-CN"/>
          <w14:textFill>
            <w14:solidFill>
              <w14:schemeClr w14:val="tx1"/>
            </w14:solidFill>
          </w14:textFill>
        </w:rPr>
        <w:t>8</w:t>
      </w:r>
      <w:r>
        <w:rPr>
          <w:rFonts w:hint="eastAsia" w:cs="宋体"/>
          <w:color w:val="000000" w:themeColor="text1"/>
          <w:szCs w:val="28"/>
          <w:highlight w:val="none"/>
          <w:lang w:val="zh-CN"/>
          <w14:textFill>
            <w14:solidFill>
              <w14:schemeClr w14:val="tx1"/>
            </w14:solidFill>
          </w14:textFill>
        </w:rPr>
        <w:t>月：工程竣工验收，交付使用。</w:t>
      </w:r>
    </w:p>
    <w:p>
      <w:pPr>
        <w:pStyle w:val="39"/>
        <w:rPr>
          <w:color w:val="000000" w:themeColor="text1"/>
          <w14:textFill>
            <w14:solidFill>
              <w14:schemeClr w14:val="tx1"/>
            </w14:solidFill>
          </w14:textFill>
        </w:rPr>
      </w:pPr>
    </w:p>
    <w:p>
      <w:pPr>
        <w:spacing w:before="100"/>
        <w:ind w:firstLine="240" w:firstLineChars="100"/>
        <w:rPr>
          <w:rFonts w:ascii="Times New Roman" w:hAnsi="Times New Roman" w:cs="Times New Roman"/>
          <w:color w:val="000000" w:themeColor="text1"/>
          <w:sz w:val="24"/>
          <w:highlight w:val="none"/>
          <w14:textFill>
            <w14:solidFill>
              <w14:schemeClr w14:val="tx1"/>
            </w14:solidFill>
          </w14:textFill>
        </w:rPr>
        <w:sectPr>
          <w:footerReference r:id="rId7" w:type="default"/>
          <w:pgSz w:w="11906" w:h="16838"/>
          <w:pgMar w:top="1417" w:right="1417" w:bottom="1417" w:left="1417" w:header="851" w:footer="992" w:gutter="0"/>
          <w:pgBorders w:offsetFrom="page">
            <w:top w:val="none" w:sz="0" w:space="0"/>
            <w:left w:val="none" w:sz="0" w:space="0"/>
            <w:bottom w:val="none" w:sz="0" w:space="0"/>
            <w:right w:val="none" w:sz="0" w:space="0"/>
          </w:pgBorders>
          <w:pgNumType w:fmt="decimal" w:start="1"/>
          <w:cols w:space="720" w:num="1"/>
          <w:rtlGutter w:val="0"/>
          <w:docGrid w:type="lines" w:linePitch="326" w:charSpace="0"/>
        </w:sectPr>
      </w:pPr>
    </w:p>
    <w:p>
      <w:pPr>
        <w:pStyle w:val="3"/>
        <w:spacing w:before="192" w:after="216"/>
        <w:rPr>
          <w:color w:val="000000" w:themeColor="text1"/>
          <w:highlight w:val="none"/>
          <w14:textFill>
            <w14:solidFill>
              <w14:schemeClr w14:val="tx1"/>
            </w14:solidFill>
          </w14:textFill>
        </w:rPr>
      </w:pPr>
      <w:bookmarkStart w:id="311" w:name="_Toc411407894"/>
      <w:bookmarkStart w:id="312" w:name="_Toc11841"/>
      <w:bookmarkStart w:id="313" w:name="_Toc18161"/>
      <w:bookmarkStart w:id="314" w:name="_Toc31048"/>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.3项目实施进度</w:t>
      </w:r>
      <w:bookmarkEnd w:id="311"/>
      <w:bookmarkEnd w:id="312"/>
      <w:bookmarkEnd w:id="313"/>
      <w:bookmarkEnd w:id="314"/>
    </w:p>
    <w:p>
      <w:pPr>
        <w:ind w:firstLine="0" w:firstLineChars="0"/>
        <w:jc w:val="center"/>
        <w:rPr>
          <w:b/>
          <w:bCs/>
          <w:color w:val="000000" w:themeColor="text1"/>
          <w:sz w:val="24"/>
          <w:highlight w:val="none"/>
          <w:lang w:val="zh-CN"/>
          <w14:textFill>
            <w14:solidFill>
              <w14:schemeClr w14:val="tx1"/>
            </w14:solidFill>
          </w14:textFill>
        </w:rPr>
      </w:pPr>
      <w:r>
        <w:rPr>
          <w:b/>
          <w:bCs/>
          <w:color w:val="000000" w:themeColor="text1"/>
          <w:sz w:val="24"/>
          <w:highlight w:val="none"/>
          <w:lang w:val="zh-CN"/>
          <w14:textFill>
            <w14:solidFill>
              <w14:schemeClr w14:val="tx1"/>
            </w14:solidFill>
          </w14:textFill>
        </w:rPr>
        <w:t>项目实施</w:t>
      </w:r>
      <w:r>
        <w:rPr>
          <w:rFonts w:hint="eastAsia"/>
          <w:b/>
          <w:bCs/>
          <w:color w:val="000000" w:themeColor="text1"/>
          <w:sz w:val="24"/>
          <w:highlight w:val="none"/>
          <w:lang w:val="zh-CN"/>
          <w14:textFill>
            <w14:solidFill>
              <w14:schemeClr w14:val="tx1"/>
            </w14:solidFill>
          </w14:textFill>
        </w:rPr>
        <w:t>计划</w:t>
      </w:r>
      <w:r>
        <w:rPr>
          <w:b/>
          <w:bCs/>
          <w:color w:val="000000" w:themeColor="text1"/>
          <w:sz w:val="24"/>
          <w:highlight w:val="none"/>
          <w:lang w:val="zh-CN"/>
          <w14:textFill>
            <w14:solidFill>
              <w14:schemeClr w14:val="tx1"/>
            </w14:solidFill>
          </w14:textFill>
        </w:rPr>
        <w:t>进度表</w:t>
      </w:r>
    </w:p>
    <w:p>
      <w:pPr>
        <w:autoSpaceDE w:val="0"/>
        <w:autoSpaceDN w:val="0"/>
        <w:adjustRightInd w:val="0"/>
        <w:spacing w:line="240" w:lineRule="exact"/>
        <w:ind w:firstLine="0" w:firstLineChars="0"/>
        <w:rPr>
          <w:b/>
          <w:color w:val="000000" w:themeColor="text1"/>
          <w:sz w:val="21"/>
          <w:szCs w:val="21"/>
          <w:highlight w:val="none"/>
          <w:lang w:val="zh-CN"/>
          <w14:textFill>
            <w14:solidFill>
              <w14:schemeClr w14:val="tx1"/>
            </w14:solidFill>
          </w14:textFill>
        </w:rPr>
      </w:pPr>
      <w:r>
        <w:rPr>
          <w:rFonts w:hint="eastAsia"/>
          <w:b/>
          <w:color w:val="000000" w:themeColor="text1"/>
          <w:sz w:val="21"/>
          <w:szCs w:val="21"/>
          <w:highlight w:val="none"/>
          <w:lang w:val="zh-CN"/>
          <w14:textFill>
            <w14:solidFill>
              <w14:schemeClr w14:val="tx1"/>
            </w14:solidFill>
          </w14:textFill>
        </w:rPr>
        <w:t>表1</w:t>
      </w:r>
      <w:r>
        <w:rPr>
          <w:rFonts w:hint="eastAsia"/>
          <w:b/>
          <w:color w:val="000000" w:themeColor="text1"/>
          <w:sz w:val="21"/>
          <w:szCs w:val="21"/>
          <w:highlight w:val="none"/>
          <w:lang w:val="en-US" w:eastAsia="zh-CN"/>
          <w14:textFill>
            <w14:solidFill>
              <w14:schemeClr w14:val="tx1"/>
            </w14:solidFill>
          </w14:textFill>
        </w:rPr>
        <w:t>1</w:t>
      </w:r>
      <w:r>
        <w:rPr>
          <w:rFonts w:hint="eastAsia"/>
          <w:b/>
          <w:color w:val="000000" w:themeColor="text1"/>
          <w:sz w:val="21"/>
          <w:szCs w:val="21"/>
          <w:highlight w:val="none"/>
          <w14:textFill>
            <w14:solidFill>
              <w14:schemeClr w14:val="tx1"/>
            </w14:solidFill>
          </w14:textFill>
        </w:rPr>
        <w:t>-</w:t>
      </w:r>
      <w:r>
        <w:rPr>
          <w:rFonts w:hint="eastAsia"/>
          <w:b/>
          <w:color w:val="000000" w:themeColor="text1"/>
          <w:sz w:val="21"/>
          <w:szCs w:val="21"/>
          <w:highlight w:val="none"/>
          <w:lang w:val="zh-CN"/>
          <w14:textFill>
            <w14:solidFill>
              <w14:schemeClr w14:val="tx1"/>
            </w14:solidFill>
          </w14:textFill>
        </w:rPr>
        <w:t>1</w:t>
      </w:r>
    </w:p>
    <w:tbl>
      <w:tblPr>
        <w:tblStyle w:val="40"/>
        <w:tblW w:w="4996"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514"/>
        <w:gridCol w:w="833"/>
        <w:gridCol w:w="833"/>
        <w:gridCol w:w="833"/>
        <w:gridCol w:w="833"/>
        <w:gridCol w:w="833"/>
        <w:gridCol w:w="833"/>
        <w:gridCol w:w="833"/>
        <w:gridCol w:w="833"/>
        <w:gridCol w:w="833"/>
        <w:gridCol w:w="833"/>
        <w:gridCol w:w="833"/>
        <w:gridCol w:w="83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vMerge w:val="restart"/>
            <w:noWrap w:val="0"/>
            <w:vAlign w:val="center"/>
          </w:tcPr>
          <w:p>
            <w:pPr>
              <w:spacing w:line="240" w:lineRule="auto"/>
              <w:ind w:firstLine="0" w:firstLineChars="0"/>
              <w:jc w:val="center"/>
              <w:rPr>
                <w:rFonts w:hint="eastAsia"/>
                <w:b/>
                <w:bCs/>
                <w:color w:val="000000" w:themeColor="text1"/>
                <w:sz w:val="22"/>
                <w:szCs w:val="24"/>
                <w:highlight w:val="none"/>
                <w14:textFill>
                  <w14:solidFill>
                    <w14:schemeClr w14:val="tx1"/>
                  </w14:solidFill>
                </w14:textFill>
              </w:rPr>
            </w:pPr>
            <w:bookmarkStart w:id="315" w:name="_Toc22550"/>
            <w:r>
              <w:rPr>
                <w:rFonts w:hint="eastAsia"/>
                <w:b/>
                <w:bCs/>
                <w:color w:val="000000" w:themeColor="text1"/>
                <w:sz w:val="22"/>
                <w:szCs w:val="24"/>
                <w:highlight w:val="none"/>
                <w14:textFill>
                  <w14:solidFill>
                    <w14:schemeClr w14:val="tx1"/>
                  </w14:solidFill>
                </w14:textFill>
              </w:rPr>
              <w:t>序号</w:t>
            </w:r>
          </w:p>
        </w:tc>
        <w:tc>
          <w:tcPr>
            <w:tcW w:w="1236" w:type="pct"/>
            <w:vMerge w:val="restart"/>
            <w:noWrap w:val="0"/>
            <w:vAlign w:val="center"/>
          </w:tcPr>
          <w:p>
            <w:pPr>
              <w:spacing w:line="240" w:lineRule="auto"/>
              <w:ind w:firstLine="0" w:firstLineChars="0"/>
              <w:jc w:val="center"/>
              <w:rPr>
                <w:rFonts w:hint="eastAsia"/>
                <w:b/>
                <w:bCs/>
                <w:color w:val="000000" w:themeColor="text1"/>
                <w:sz w:val="22"/>
                <w:szCs w:val="24"/>
                <w:highlight w:val="none"/>
                <w14:textFill>
                  <w14:solidFill>
                    <w14:schemeClr w14:val="tx1"/>
                  </w14:solidFill>
                </w14:textFill>
              </w:rPr>
            </w:pPr>
            <w:r>
              <w:rPr>
                <w:rFonts w:hint="eastAsia"/>
                <w:b/>
                <w:bCs/>
                <w:color w:val="000000" w:themeColor="text1"/>
                <w:sz w:val="22"/>
                <w:szCs w:val="24"/>
                <w:highlight w:val="none"/>
                <w14:textFill>
                  <w14:solidFill>
                    <w14:schemeClr w14:val="tx1"/>
                  </w14:solidFill>
                </w14:textFill>
              </w:rPr>
              <w:t>进度内容</w:t>
            </w:r>
          </w:p>
        </w:tc>
        <w:tc>
          <w:tcPr>
            <w:tcW w:w="1172" w:type="pct"/>
            <w:gridSpan w:val="4"/>
            <w:noWrap w:val="0"/>
            <w:vAlign w:val="center"/>
          </w:tcPr>
          <w:p>
            <w:pPr>
              <w:spacing w:line="240" w:lineRule="auto"/>
              <w:ind w:firstLine="0" w:firstLineChars="0"/>
              <w:jc w:val="center"/>
              <w:rPr>
                <w:rFonts w:hint="eastAsia"/>
                <w:b/>
                <w:bCs/>
                <w:color w:val="000000" w:themeColor="text1"/>
                <w:sz w:val="22"/>
                <w:szCs w:val="24"/>
                <w:highlight w:val="none"/>
                <w14:textFill>
                  <w14:solidFill>
                    <w14:schemeClr w14:val="tx1"/>
                  </w14:solidFill>
                </w14:textFill>
              </w:rPr>
            </w:pPr>
            <w:r>
              <w:rPr>
                <w:rFonts w:hint="eastAsia"/>
                <w:b/>
                <w:bCs/>
                <w:color w:val="000000" w:themeColor="text1"/>
                <w:sz w:val="22"/>
                <w:szCs w:val="24"/>
                <w:highlight w:val="none"/>
                <w14:textFill>
                  <w14:solidFill>
                    <w14:schemeClr w14:val="tx1"/>
                  </w14:solidFill>
                </w14:textFill>
              </w:rPr>
              <w:t>2021年</w:t>
            </w:r>
          </w:p>
        </w:tc>
        <w:tc>
          <w:tcPr>
            <w:tcW w:w="2345" w:type="pct"/>
            <w:gridSpan w:val="8"/>
            <w:noWrap w:val="0"/>
            <w:vAlign w:val="center"/>
          </w:tcPr>
          <w:p>
            <w:pPr>
              <w:spacing w:line="240" w:lineRule="auto"/>
              <w:ind w:firstLine="0" w:firstLineChars="0"/>
              <w:jc w:val="center"/>
              <w:rPr>
                <w:rFonts w:hint="eastAsia"/>
                <w:b/>
                <w:bCs/>
                <w:color w:val="000000" w:themeColor="text1"/>
                <w:sz w:val="22"/>
                <w:szCs w:val="24"/>
                <w:highlight w:val="none"/>
                <w14:textFill>
                  <w14:solidFill>
                    <w14:schemeClr w14:val="tx1"/>
                  </w14:solidFill>
                </w14:textFill>
              </w:rPr>
            </w:pPr>
            <w:r>
              <w:rPr>
                <w:rFonts w:hint="eastAsia"/>
                <w:b/>
                <w:bCs/>
                <w:color w:val="000000" w:themeColor="text1"/>
                <w:sz w:val="22"/>
                <w:szCs w:val="24"/>
                <w:highlight w:val="none"/>
                <w14:textFill>
                  <w14:solidFill>
                    <w14:schemeClr w14:val="tx1"/>
                  </w14:solidFill>
                </w14:textFill>
              </w:rPr>
              <w:t>2022年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vMerge w:val="continue"/>
            <w:noWrap w:val="0"/>
            <w:vAlign w:val="center"/>
          </w:tcPr>
          <w:p>
            <w:pPr>
              <w:widowControl/>
              <w:spacing w:line="240" w:lineRule="auto"/>
              <w:ind w:firstLine="482"/>
              <w:jc w:val="center"/>
              <w:rPr>
                <w:b/>
                <w:bCs/>
                <w:color w:val="000000" w:themeColor="text1"/>
                <w:sz w:val="24"/>
                <w:highlight w:val="none"/>
                <w14:textFill>
                  <w14:solidFill>
                    <w14:schemeClr w14:val="tx1"/>
                  </w14:solidFill>
                </w14:textFill>
              </w:rPr>
            </w:pPr>
          </w:p>
        </w:tc>
        <w:tc>
          <w:tcPr>
            <w:tcW w:w="1236" w:type="pct"/>
            <w:vMerge w:val="continue"/>
            <w:noWrap w:val="0"/>
            <w:vAlign w:val="center"/>
          </w:tcPr>
          <w:p>
            <w:pPr>
              <w:widowControl/>
              <w:spacing w:line="240" w:lineRule="auto"/>
              <w:ind w:firstLine="482"/>
              <w:jc w:val="center"/>
              <w:rPr>
                <w:b/>
                <w:bCs/>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9月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10月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11月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12月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2月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3月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4月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5月</w:t>
            </w:r>
          </w:p>
        </w:tc>
        <w:tc>
          <w:tcPr>
            <w:tcW w:w="293" w:type="pct"/>
            <w:noWrap w:val="0"/>
            <w:vAlign w:val="center"/>
          </w:tcPr>
          <w:p>
            <w:pPr>
              <w:spacing w:line="240" w:lineRule="auto"/>
              <w:ind w:firstLine="0" w:firstLineChars="0"/>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6月</w:t>
            </w:r>
          </w:p>
        </w:tc>
        <w:tc>
          <w:tcPr>
            <w:tcW w:w="293" w:type="pct"/>
            <w:noWrap w:val="0"/>
            <w:vAlign w:val="center"/>
          </w:tcPr>
          <w:p>
            <w:pPr>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7月</w:t>
            </w:r>
          </w:p>
        </w:tc>
        <w:tc>
          <w:tcPr>
            <w:tcW w:w="293" w:type="pct"/>
            <w:noWrap w:val="0"/>
            <w:vAlign w:val="center"/>
          </w:tcPr>
          <w:p>
            <w:pPr>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8月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p>
        </w:tc>
        <w:tc>
          <w:tcPr>
            <w:tcW w:w="1236" w:type="pct"/>
            <w:noWrap w:val="0"/>
            <w:vAlign w:val="center"/>
          </w:tcPr>
          <w:p>
            <w:pPr>
              <w:spacing w:line="300" w:lineRule="exact"/>
              <w:ind w:firstLine="0" w:firstLineChars="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完成</w:t>
            </w:r>
            <w:r>
              <w:rPr>
                <w:rFonts w:hint="eastAsia"/>
                <w:color w:val="000000" w:themeColor="text1"/>
                <w:sz w:val="24"/>
                <w:szCs w:val="24"/>
                <w:highlight w:val="none"/>
                <w:lang w:eastAsia="zh-CN"/>
                <w14:textFill>
                  <w14:solidFill>
                    <w14:schemeClr w14:val="tx1"/>
                  </w14:solidFill>
                </w14:textFill>
              </w:rPr>
              <w:t>实施方案</w:t>
            </w:r>
            <w:r>
              <w:rPr>
                <w:rFonts w:hint="eastAsia"/>
                <w:color w:val="000000" w:themeColor="text1"/>
                <w:sz w:val="24"/>
                <w:szCs w:val="24"/>
                <w:highlight w:val="none"/>
                <w14:textFill>
                  <w14:solidFill>
                    <w14:schemeClr w14:val="tx1"/>
                  </w14:solidFill>
                </w14:textFill>
              </w:rPr>
              <w:t>的编制及审批</w:t>
            </w: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-55880</wp:posOffset>
                      </wp:positionH>
                      <wp:positionV relativeFrom="paragraph">
                        <wp:posOffset>158115</wp:posOffset>
                      </wp:positionV>
                      <wp:extent cx="513715" cy="635"/>
                      <wp:effectExtent l="0" t="19050" r="635" b="37465"/>
                      <wp:wrapNone/>
                      <wp:docPr id="50" name="直接连接符 50"/>
                      <wp:cNvGraphicFramePr/>
                      <a:graphic xmlns:a="http://schemas.openxmlformats.org/drawingml/2006/main">
                        <a:graphicData uri="http://schemas.microsoft.com/office/word/2010/wordprocessingShape">
                          <wps:wsp>
                            <wps:cNvCnPr/>
                            <wps:spPr>
                              <a:xfrm>
                                <a:off x="0" y="0"/>
                                <a:ext cx="513715" cy="635"/>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pt;margin-top:12.45pt;height:0.05pt;width:40.45pt;z-index:251665408;mso-width-relative:page;mso-height-relative:page;" filled="f" stroked="t" coordsize="21600,21600" o:gfxdata="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l/H7tMAAAAHAQAADwAAAAAAAAABACAAAAAiAAAAZHJzL2Rvd25yZXYueG1sUEsBAhQA&#10;FAAAAAgAh07iQNvL7uH3AQAA6AMAAA4AAAAAAAAAAQAgAAAAIgEAAGRycy9lMm9Eb2MueG1sUEsF&#10;BgAAAAAGAAYAWQEAAIsFAAAAAA==&#10;">
                      <v:fill on="f" focussize="0,0"/>
                      <v:stroke weight="3pt" color="#000000" joinstyle="round"/>
                      <v:imagedata o:title=""/>
                      <o:lock v:ext="edit" aspectratio="f"/>
                    </v:line>
                  </w:pict>
                </mc:Fallback>
              </mc:AlternateContent>
            </w: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w:t>
            </w:r>
          </w:p>
        </w:tc>
        <w:tc>
          <w:tcPr>
            <w:tcW w:w="1236" w:type="pct"/>
            <w:noWrap w:val="0"/>
            <w:vAlign w:val="center"/>
          </w:tcPr>
          <w:p>
            <w:pPr>
              <w:spacing w:line="300" w:lineRule="exact"/>
              <w:ind w:firstLine="0" w:firstLineChars="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完成施工图设计及审查</w:t>
            </w: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153670</wp:posOffset>
                      </wp:positionV>
                      <wp:extent cx="513080" cy="8890"/>
                      <wp:effectExtent l="635" t="19050" r="635" b="29210"/>
                      <wp:wrapNone/>
                      <wp:docPr id="41" name="直接连接符 41"/>
                      <wp:cNvGraphicFramePr/>
                      <a:graphic xmlns:a="http://schemas.openxmlformats.org/drawingml/2006/main">
                        <a:graphicData uri="http://schemas.microsoft.com/office/word/2010/wordprocessingShape">
                          <wps:wsp>
                            <wps:cNvCnPr/>
                            <wps:spPr>
                              <a:xfrm>
                                <a:off x="0" y="0"/>
                                <a:ext cx="513080" cy="889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5pt;margin-top:12.1pt;height:0.7pt;width:40.4pt;z-index:251666432;mso-width-relative:page;mso-height-relative:page;" filled="f" stroked="t" coordsize="21600,21600" o:gfxdata="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j31B0wAAAAcBAAAPAAAAAAAAAAEAIAAAACIAAABkcnMvZG93bnJldi54bWxQSwEC&#10;FAAUAAAACACHTuJANL67jPkBAADpAwAADgAAAAAAAAABACAAAAAiAQAAZHJzL2Uyb0RvYy54bWxQ&#10;SwUGAAAAAAYABgBZAQAAjQUAAAAA&#10;">
                      <v:fill on="f" focussize="0,0"/>
                      <v:stroke weight="3pt" color="#000000" joinstyle="round"/>
                      <v:imagedata o:title=""/>
                      <o:lock v:ext="edit" aspectratio="f"/>
                    </v:line>
                  </w:pict>
                </mc:Fallback>
              </mc:AlternateContent>
            </w: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w:t>
            </w:r>
          </w:p>
        </w:tc>
        <w:tc>
          <w:tcPr>
            <w:tcW w:w="1236" w:type="pct"/>
            <w:noWrap w:val="0"/>
            <w:vAlign w:val="center"/>
          </w:tcPr>
          <w:p>
            <w:pPr>
              <w:spacing w:line="300" w:lineRule="exact"/>
              <w:ind w:firstLine="0" w:firstLineChars="0"/>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完成招投标工作</w: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445770</wp:posOffset>
                      </wp:positionH>
                      <wp:positionV relativeFrom="paragraph">
                        <wp:posOffset>119380</wp:posOffset>
                      </wp:positionV>
                      <wp:extent cx="531495" cy="2540"/>
                      <wp:effectExtent l="0" t="19050" r="1905" b="35560"/>
                      <wp:wrapNone/>
                      <wp:docPr id="42" name="直接连接符 42"/>
                      <wp:cNvGraphicFramePr/>
                      <a:graphic xmlns:a="http://schemas.openxmlformats.org/drawingml/2006/main">
                        <a:graphicData uri="http://schemas.microsoft.com/office/word/2010/wordprocessingShape">
                          <wps:wsp>
                            <wps:cNvCnPr/>
                            <wps:spPr>
                              <a:xfrm>
                                <a:off x="0" y="0"/>
                                <a:ext cx="531495" cy="254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1pt;margin-top:9.4pt;height:0.2pt;width:41.85pt;z-index:251667456;mso-width-relative:page;mso-height-relative:page;" filled="f" stroked="t" coordsize="21600,21600" o:gfxdata="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0V6ytQAAAAIAQAADwAAAAAAAAABACAAAAAiAAAAZHJzL2Rvd25yZXYueG1s&#10;UEsBAhQAFAAAAAgAh07iQGzB2YT8AQAA6QMAAA4AAAAAAAAAAQAgAAAAIwEAAGRycy9lMm9Eb2Mu&#10;eG1sUEsFBgAAAAAGAAYAWQEAAJEFAAAAAA==&#10;">
                      <v:fill on="f" focussize="0,0"/>
                      <v:stroke weight="3pt" color="#000000" joinstyle="round"/>
                      <v:imagedata o:title=""/>
                      <o:lock v:ext="edit" aspectratio="f"/>
                    </v:line>
                  </w:pict>
                </mc:Fallback>
              </mc:AlternateConten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p>
        </w:tc>
        <w:tc>
          <w:tcPr>
            <w:tcW w:w="1236" w:type="pct"/>
            <w:noWrap w:val="0"/>
            <w:vAlign w:val="center"/>
          </w:tcPr>
          <w:p>
            <w:pPr>
              <w:spacing w:line="300" w:lineRule="exact"/>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完成工程施工作</w: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453390</wp:posOffset>
                      </wp:positionH>
                      <wp:positionV relativeFrom="paragraph">
                        <wp:posOffset>140970</wp:posOffset>
                      </wp:positionV>
                      <wp:extent cx="3687445" cy="1270"/>
                      <wp:effectExtent l="0" t="19050" r="8255" b="36830"/>
                      <wp:wrapNone/>
                      <wp:docPr id="43" name="直接连接符 43"/>
                      <wp:cNvGraphicFramePr/>
                      <a:graphic xmlns:a="http://schemas.openxmlformats.org/drawingml/2006/main">
                        <a:graphicData uri="http://schemas.microsoft.com/office/word/2010/wordprocessingShape">
                          <wps:wsp>
                            <wps:cNvCnPr/>
                            <wps:spPr>
                              <a:xfrm>
                                <a:off x="0" y="0"/>
                                <a:ext cx="3687445" cy="127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7pt;margin-top:11.1pt;height:0.1pt;width:290.35pt;z-index:251669504;mso-width-relative:page;mso-height-relative:page;" filled="f" stroked="t" coordsize="21600,21600" o:gfxdata="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91b90wAAAAgBAAAPAAAAAAAAAAEAIAAAACIAAABkcnMvZG93bnJldi54bWxQ&#10;SwECFAAUAAAACACHTuJAN/v9LfwBAADqAwAADgAAAAAAAAABACAAAAAiAQAAZHJzL2Uyb0RvYy54&#10;bWxQSwUGAAAAAAYABgBZAQAAkAUAAAAA&#10;">
                      <v:fill on="f" focussize="0,0"/>
                      <v:stroke weight="3pt" color="#000000" joinstyle="round"/>
                      <v:imagedata o:title=""/>
                      <o:lock v:ext="edit" aspectratio="f"/>
                    </v:line>
                  </w:pict>
                </mc:Fallback>
              </mc:AlternateConten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w:t>
            </w:r>
          </w:p>
        </w:tc>
        <w:tc>
          <w:tcPr>
            <w:tcW w:w="1236" w:type="pct"/>
            <w:noWrap w:val="0"/>
            <w:vAlign w:val="center"/>
          </w:tcPr>
          <w:p>
            <w:pPr>
              <w:spacing w:line="300" w:lineRule="exact"/>
              <w:ind w:firstLine="0" w:firstLineChars="0"/>
              <w:jc w:val="center"/>
              <w:rPr>
                <w:rFonts w:hint="eastAsia" w:eastAsia="仿宋"/>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完成设备安装及调试工作</w: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-52705</wp:posOffset>
                      </wp:positionH>
                      <wp:positionV relativeFrom="paragraph">
                        <wp:posOffset>160655</wp:posOffset>
                      </wp:positionV>
                      <wp:extent cx="522605" cy="2540"/>
                      <wp:effectExtent l="0" t="19050" r="10795" b="35560"/>
                      <wp:wrapNone/>
                      <wp:docPr id="51" name="直接连接符 51"/>
                      <wp:cNvGraphicFramePr/>
                      <a:graphic xmlns:a="http://schemas.openxmlformats.org/drawingml/2006/main">
                        <a:graphicData uri="http://schemas.microsoft.com/office/word/2010/wordprocessingShape">
                          <wps:wsp>
                            <wps:cNvCnPr/>
                            <wps:spPr>
                              <a:xfrm>
                                <a:off x="0" y="0"/>
                                <a:ext cx="522605" cy="254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15pt;margin-top:12.65pt;height:0.2pt;width:41.15pt;z-index:251670528;mso-width-relative:page;mso-height-relative:page;" filled="f" stroked="t" coordsize="21600,21600" o:gfxdata="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TuJSNMAAAAHAQAADwAAAAAAAAABACAAAAAiAAAAZHJzL2Rvd25yZXYueG1sUEsB&#10;AhQAFAAAAAgAh07iQJLhB2X6AQAA6QMAAA4AAAAAAAAAAQAgAAAAIgEAAGRycy9lMm9Eb2MueG1s&#10;UEsFBgAAAAAGAAYAWQEAAI4FAAAAAA==&#10;">
                      <v:fill on="f" focussize="0,0"/>
                      <v:stroke weight="3pt" color="#000000" joinstyle="round"/>
                      <v:imagedata o:title=""/>
                      <o:lock v:ext="edit" aspectratio="f"/>
                    </v:line>
                  </w:pict>
                </mc:Fallback>
              </mc:AlternateConten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5" w:type="pct"/>
            <w:noWrap w:val="0"/>
            <w:vAlign w:val="center"/>
          </w:tcPr>
          <w:p>
            <w:pPr>
              <w:spacing w:line="240" w:lineRule="auto"/>
              <w:ind w:firstLine="0" w:firstLineChars="0"/>
              <w:jc w:val="center"/>
              <w:rPr>
                <w:rFonts w:hint="eastAsia" w:eastAsia="仿宋"/>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w:t>
            </w:r>
          </w:p>
        </w:tc>
        <w:tc>
          <w:tcPr>
            <w:tcW w:w="1236" w:type="pct"/>
            <w:noWrap w:val="0"/>
            <w:vAlign w:val="center"/>
          </w:tcPr>
          <w:p>
            <w:pPr>
              <w:spacing w:line="300" w:lineRule="exact"/>
              <w:ind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项目竣工验收</w:t>
            </w: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p>
        </w:tc>
        <w:tc>
          <w:tcPr>
            <w:tcW w:w="293" w:type="pct"/>
            <w:noWrap w:val="0"/>
            <w:vAlign w:val="center"/>
          </w:tcPr>
          <w:p>
            <w:pPr>
              <w:spacing w:line="240" w:lineRule="auto"/>
              <w:ind w:firstLine="480"/>
              <w:jc w:val="center"/>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-67310</wp:posOffset>
                      </wp:positionH>
                      <wp:positionV relativeFrom="paragraph">
                        <wp:posOffset>142240</wp:posOffset>
                      </wp:positionV>
                      <wp:extent cx="522605" cy="2540"/>
                      <wp:effectExtent l="0" t="19050" r="10795" b="35560"/>
                      <wp:wrapNone/>
                      <wp:docPr id="44" name="直接连接符 44"/>
                      <wp:cNvGraphicFramePr/>
                      <a:graphic xmlns:a="http://schemas.openxmlformats.org/drawingml/2006/main">
                        <a:graphicData uri="http://schemas.microsoft.com/office/word/2010/wordprocessingShape">
                          <wps:wsp>
                            <wps:cNvCnPr/>
                            <wps:spPr>
                              <a:xfrm>
                                <a:off x="0" y="0"/>
                                <a:ext cx="522605" cy="2540"/>
                              </a:xfrm>
                              <a:prstGeom prst="line">
                                <a:avLst/>
                              </a:prstGeom>
                              <a:ln w="381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pt;margin-top:11.2pt;height:0.2pt;width:41.15pt;z-index:251668480;mso-width-relative:page;mso-height-relative:page;" filled="f" stroked="t" coordsize="21600,21600" o:gfxdata="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t+5k/TAAAACAEAAA8AAAAAAAAAAQAgAAAAIgAAAGRycy9kb3ducmV2LnhtbFBL&#10;AQIUABQAAAAIAIdO4kCBh/G8+wEAAOkDAAAOAAAAAAAAAAEAIAAAACIBAABkcnMvZTJvRG9jLnht&#10;bFBLBQYAAAAABgAGAFkBAACPBQAAAAA=&#10;">
                      <v:fill on="f" focussize="0,0"/>
                      <v:stroke weight="3pt" color="#000000" joinstyle="round"/>
                      <v:imagedata o:title=""/>
                      <o:lock v:ext="edit" aspectratio="f"/>
                    </v:line>
                  </w:pict>
                </mc:Fallback>
              </mc:AlternateContent>
            </w:r>
          </w:p>
        </w:tc>
      </w:tr>
    </w:tbl>
    <w:p>
      <w:pPr>
        <w:ind w:firstLine="0" w:firstLineChars="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备注：项目实施过程中，如因条件发生较大变化，工程进度应作相应</w:t>
      </w:r>
      <w:r>
        <w:rPr>
          <w:rFonts w:hint="eastAsia"/>
          <w:b/>
          <w:bCs/>
          <w:color w:val="000000" w:themeColor="text1"/>
          <w:sz w:val="24"/>
          <w:highlight w:val="none"/>
          <w:lang w:eastAsia="zh-CN"/>
          <w14:textFill>
            <w14:solidFill>
              <w14:schemeClr w14:val="tx1"/>
            </w14:solidFill>
          </w14:textFill>
        </w:rPr>
        <w:t>调整</w:t>
      </w:r>
      <w:r>
        <w:rPr>
          <w:rFonts w:hint="eastAsia"/>
          <w:b/>
          <w:bCs/>
          <w:color w:val="000000" w:themeColor="text1"/>
          <w:sz w:val="24"/>
          <w:highlight w:val="none"/>
          <w14:textFill>
            <w14:solidFill>
              <w14:schemeClr w14:val="tx1"/>
            </w14:solidFill>
          </w14:textFill>
        </w:rPr>
        <w:t>。</w:t>
      </w:r>
      <w:bookmarkEnd w:id="315"/>
    </w:p>
    <w:p>
      <w:pPr>
        <w:pStyle w:val="39"/>
        <w:rPr>
          <w:rFonts w:hint="eastAsia"/>
          <w:b/>
          <w:bCs/>
          <w:color w:val="000000" w:themeColor="text1"/>
          <w:sz w:val="24"/>
          <w:highlight w:val="none"/>
          <w14:textFill>
            <w14:solidFill>
              <w14:schemeClr w14:val="tx1"/>
            </w14:solidFill>
          </w14:textFill>
        </w:rPr>
      </w:pPr>
    </w:p>
    <w:p>
      <w:pPr>
        <w:rPr>
          <w:color w:val="000000" w:themeColor="text1"/>
          <w14:textFill>
            <w14:solidFill>
              <w14:schemeClr w14:val="tx1"/>
            </w14:solidFill>
          </w14:textFill>
        </w:rPr>
        <w:sectPr>
          <w:pgSz w:w="16838" w:h="11906" w:orient="landscape"/>
          <w:pgMar w:top="1417" w:right="1417" w:bottom="1417" w:left="1417" w:header="851" w:footer="992" w:gutter="0"/>
          <w:pgBorders w:offsetFrom="page">
            <w:top w:val="none" w:sz="0" w:space="0"/>
            <w:left w:val="none" w:sz="0" w:space="0"/>
            <w:bottom w:val="none" w:sz="0" w:space="0"/>
            <w:right w:val="none" w:sz="0" w:space="0"/>
          </w:pgBorders>
          <w:pgNumType w:fmt="decimal"/>
          <w:cols w:space="720" w:num="1"/>
          <w:rtlGutter w:val="0"/>
          <w:docGrid w:type="lines" w:linePitch="326" w:charSpace="0"/>
        </w:sectPr>
      </w:pPr>
    </w:p>
    <w:p>
      <w:pPr>
        <w:pStyle w:val="2"/>
        <w:keepNext w:val="0"/>
        <w:keepLines w:val="0"/>
        <w:ind w:firstLine="723"/>
        <w:rPr>
          <w:rFonts w:cs="Times New Roman"/>
          <w:color w:val="000000" w:themeColor="text1"/>
          <w:szCs w:val="36"/>
          <w:highlight w:val="none"/>
          <w14:textFill>
            <w14:solidFill>
              <w14:schemeClr w14:val="tx1"/>
            </w14:solidFill>
          </w14:textFill>
        </w:rPr>
      </w:pPr>
      <w:bookmarkStart w:id="316" w:name="_Toc2356"/>
      <w:bookmarkStart w:id="317" w:name="_Toc20390"/>
      <w:r>
        <w:rPr>
          <w:rFonts w:cs="Times New Roman"/>
          <w:color w:val="000000" w:themeColor="text1"/>
          <w:szCs w:val="36"/>
          <w:highlight w:val="none"/>
          <w14:textFill>
            <w14:solidFill>
              <w14:schemeClr w14:val="tx1"/>
            </w14:solidFill>
          </w14:textFill>
        </w:rPr>
        <w:t>第1</w:t>
      </w:r>
      <w:r>
        <w:rPr>
          <w:rFonts w:hint="eastAsia" w:cs="Times New Roman"/>
          <w:color w:val="000000" w:themeColor="text1"/>
          <w:szCs w:val="36"/>
          <w:highlight w:val="none"/>
          <w:lang w:val="en-US" w:eastAsia="zh-CN"/>
          <w14:textFill>
            <w14:solidFill>
              <w14:schemeClr w14:val="tx1"/>
            </w14:solidFill>
          </w14:textFill>
        </w:rPr>
        <w:t>2</w:t>
      </w:r>
      <w:r>
        <w:rPr>
          <w:rFonts w:cs="Times New Roman"/>
          <w:color w:val="000000" w:themeColor="text1"/>
          <w:szCs w:val="36"/>
          <w:highlight w:val="none"/>
          <w14:textFill>
            <w14:solidFill>
              <w14:schemeClr w14:val="tx1"/>
            </w14:solidFill>
          </w14:textFill>
        </w:rPr>
        <w:t xml:space="preserve">章 </w:t>
      </w:r>
      <w:r>
        <w:rPr>
          <w:rFonts w:hint="eastAsia" w:cs="Times New Roman"/>
          <w:color w:val="000000" w:themeColor="text1"/>
          <w:szCs w:val="36"/>
          <w:highlight w:val="none"/>
          <w:lang w:val="en-US" w:eastAsia="zh-CN"/>
          <w14:textFill>
            <w14:solidFill>
              <w14:schemeClr w14:val="tx1"/>
            </w14:solidFill>
          </w14:textFill>
        </w:rPr>
        <w:t xml:space="preserve"> </w:t>
      </w:r>
      <w:r>
        <w:rPr>
          <w:rFonts w:cs="Times New Roman"/>
          <w:color w:val="000000" w:themeColor="text1"/>
          <w:szCs w:val="36"/>
          <w:highlight w:val="none"/>
          <w14:textFill>
            <w14:solidFill>
              <w14:schemeClr w14:val="tx1"/>
            </w14:solidFill>
          </w14:textFill>
        </w:rPr>
        <w:t>工程招投标</w:t>
      </w:r>
      <w:bookmarkEnd w:id="316"/>
      <w:bookmarkEnd w:id="317"/>
    </w:p>
    <w:bookmarkEnd w:id="310"/>
    <w:p>
      <w:pPr>
        <w:pStyle w:val="3"/>
        <w:spacing w:before="192" w:after="216"/>
        <w:rPr>
          <w:color w:val="000000" w:themeColor="text1"/>
          <w:highlight w:val="none"/>
          <w14:textFill>
            <w14:solidFill>
              <w14:schemeClr w14:val="tx1"/>
            </w14:solidFill>
          </w14:textFill>
        </w:rPr>
      </w:pPr>
      <w:bookmarkStart w:id="318" w:name="_Toc16586340"/>
      <w:bookmarkStart w:id="319" w:name="_Toc7607"/>
      <w:bookmarkStart w:id="320" w:name="_Toc27324"/>
      <w:bookmarkStart w:id="321" w:name="_Toc5215"/>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1招标依据</w:t>
      </w:r>
      <w:bookmarkEnd w:id="318"/>
      <w:bookmarkEnd w:id="319"/>
      <w:bookmarkEnd w:id="320"/>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（1）《中华人民共和国招标投标法》；</w:t>
      </w:r>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（2）国家发改委2018年第16号令《必须招标的工程项目规定》；</w:t>
      </w:r>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（3）《中华人民共和国招标投标法实施条例》；</w:t>
      </w:r>
    </w:p>
    <w:p>
      <w:pPr>
        <w:ind w:firstLine="560"/>
        <w:rPr>
          <w:rFonts w:ascii="Times New Roman" w:hAnsi="Times New Roman" w:cs="Times New Roman"/>
          <w:color w:val="000000" w:themeColor="text1"/>
          <w:szCs w:val="28"/>
          <w:highlight w:val="none"/>
          <w14:textFill>
            <w14:solidFill>
              <w14:schemeClr w14:val="tx1"/>
            </w14:solidFill>
          </w14:textFill>
        </w:rPr>
      </w:pPr>
      <w:r>
        <w:rPr>
          <w:color w:val="000000" w:themeColor="text1"/>
          <w:highlight w:val="none"/>
          <w14:textFill>
            <w14:solidFill>
              <w14:schemeClr w14:val="tx1"/>
            </w14:solidFill>
          </w14:textFill>
        </w:rPr>
        <w:t>（4）《工程建设项目施工招标投标办法》。</w:t>
      </w:r>
    </w:p>
    <w:p>
      <w:pPr>
        <w:pStyle w:val="3"/>
        <w:spacing w:before="192" w:after="216"/>
        <w:rPr>
          <w:color w:val="000000" w:themeColor="text1"/>
          <w:highlight w:val="none"/>
          <w14:textFill>
            <w14:solidFill>
              <w14:schemeClr w14:val="tx1"/>
            </w14:solidFill>
          </w14:textFill>
        </w:rPr>
      </w:pPr>
      <w:bookmarkStart w:id="322" w:name="_Toc16586341"/>
      <w:bookmarkStart w:id="323" w:name="_Toc26355"/>
      <w:bookmarkStart w:id="324" w:name="_Toc29846"/>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.2项目概况</w:t>
      </w:r>
      <w:bookmarkEnd w:id="322"/>
      <w:bookmarkEnd w:id="323"/>
      <w:bookmarkEnd w:id="324"/>
    </w:p>
    <w:p>
      <w:pPr>
        <w:ind w:firstLine="560"/>
        <w:rPr>
          <w:rFonts w:hint="eastAsia" w:eastAsia="仿宋"/>
          <w:color w:val="000000" w:themeColor="text1"/>
          <w:highlight w:val="none"/>
          <w:lang w:eastAsia="zh-CN"/>
          <w14:textFill>
            <w14:solidFill>
              <w14:schemeClr w14:val="tx1"/>
            </w14:solidFill>
          </w14:textFill>
        </w:rPr>
      </w:pPr>
      <w:bookmarkStart w:id="325" w:name="_Toc16586342"/>
      <w:bookmarkStart w:id="326" w:name="_Toc14318"/>
      <w:bookmarkStart w:id="327" w:name="_Toc522092736"/>
      <w:bookmarkStart w:id="328" w:name="_Toc346273502"/>
      <w:bookmarkStart w:id="329" w:name="_Toc516447980"/>
      <w:r>
        <w:rPr>
          <w:rFonts w:hint="eastAsia"/>
          <w:color w:val="000000" w:themeColor="text1"/>
          <w:highlight w:val="none"/>
          <w14:textFill>
            <w14:solidFill>
              <w14:schemeClr w14:val="tx1"/>
            </w14:solidFill>
          </w14:textFill>
        </w:rPr>
        <w:t>（1）项目性质：</w:t>
      </w:r>
      <w:r>
        <w:rPr>
          <w:rFonts w:hint="eastAsia"/>
          <w:color w:val="000000" w:themeColor="text1"/>
          <w:highlight w:val="none"/>
          <w:lang w:eastAsia="zh-CN"/>
          <w14:textFill>
            <w14:solidFill>
              <w14:schemeClr w14:val="tx1"/>
            </w14:solidFill>
          </w14:textFill>
        </w:rPr>
        <w:t>改造</w:t>
      </w:r>
    </w:p>
    <w:p>
      <w:pPr>
        <w:ind w:firstLine="56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（2）项目招标范围：工程费用。</w:t>
      </w:r>
    </w:p>
    <w:p>
      <w:pPr>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）项目投资：</w:t>
      </w:r>
      <w:r>
        <w:rPr>
          <w:rFonts w:hint="eastAsia"/>
          <w:color w:val="000000" w:themeColor="text1"/>
          <w:lang w:val="en-US" w:eastAsia="zh-CN"/>
          <w14:textFill>
            <w14:solidFill>
              <w14:schemeClr w14:val="tx1"/>
            </w14:solidFill>
          </w14:textFill>
        </w:rPr>
        <w:t>1892.20万元</w:t>
      </w:r>
    </w:p>
    <w:p>
      <w:pPr>
        <w:pStyle w:val="3"/>
        <w:spacing w:before="192" w:after="216"/>
        <w:rPr>
          <w:color w:val="000000" w:themeColor="text1"/>
          <w:highlight w:val="none"/>
          <w14:textFill>
            <w14:solidFill>
              <w14:schemeClr w14:val="tx1"/>
            </w14:solidFill>
          </w14:textFill>
        </w:rPr>
      </w:pPr>
      <w:bookmarkStart w:id="330" w:name="_Toc25767"/>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3招标的基本情况</w:t>
      </w:r>
      <w:bookmarkEnd w:id="325"/>
      <w:bookmarkEnd w:id="326"/>
      <w:bookmarkEnd w:id="327"/>
      <w:bookmarkEnd w:id="328"/>
      <w:bookmarkEnd w:id="329"/>
      <w:bookmarkEnd w:id="330"/>
    </w:p>
    <w:p>
      <w:pPr>
        <w:pStyle w:val="4"/>
        <w:ind w:firstLine="600"/>
        <w:rPr>
          <w:color w:val="000000" w:themeColor="text1"/>
          <w:highlight w:val="none"/>
          <w14:textFill>
            <w14:solidFill>
              <w14:schemeClr w14:val="tx1"/>
            </w14:solidFill>
          </w14:textFill>
        </w:rPr>
      </w:pPr>
      <w:bookmarkStart w:id="331" w:name="_Toc516447981"/>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.3.1招标组织形式</w:t>
      </w:r>
      <w:bookmarkEnd w:id="331"/>
    </w:p>
    <w:p>
      <w:pPr>
        <w:ind w:firstLine="560"/>
        <w:rPr>
          <w:rFonts w:ascii="Times New Roman" w:hAnsi="Times New Roman" w:cs="Times New Roman"/>
          <w:color w:val="000000" w:themeColor="text1"/>
          <w:szCs w:val="28"/>
          <w:highlight w:val="none"/>
          <w14:textFill>
            <w14:solidFill>
              <w14:schemeClr w14:val="tx1"/>
            </w14:solidFill>
          </w14:textFill>
        </w:rPr>
      </w:pPr>
      <w:r>
        <w:rPr>
          <w:rFonts w:ascii="Times New Roman" w:hAnsi="Times New Roman" w:cs="Times New Roman"/>
          <w:color w:val="000000" w:themeColor="text1"/>
          <w:szCs w:val="28"/>
          <w:highlight w:val="none"/>
          <w14:textFill>
            <w14:solidFill>
              <w14:schemeClr w14:val="tx1"/>
            </w14:solidFill>
          </w14:textFill>
        </w:rPr>
        <w:t>根据相关规定，进行公开招标，项目的招标情况详见固定资产投资建设项目招标基本情况表。</w:t>
      </w:r>
    </w:p>
    <w:p>
      <w:pPr>
        <w:pStyle w:val="4"/>
        <w:ind w:firstLine="600"/>
        <w:rPr>
          <w:color w:val="000000" w:themeColor="text1"/>
          <w:highlight w:val="none"/>
          <w14:textFill>
            <w14:solidFill>
              <w14:schemeClr w14:val="tx1"/>
            </w14:solidFill>
          </w14:textFill>
        </w:rPr>
      </w:pPr>
      <w:bookmarkStart w:id="332" w:name="_Toc516447982"/>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.3.2初步招标方案</w:t>
      </w:r>
      <w:bookmarkEnd w:id="332"/>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（1）根据本项目工程情况，项目要根据投资额选择资质符合要求的招标代理机构。</w:t>
      </w:r>
    </w:p>
    <w:p>
      <w:pPr>
        <w:ind w:firstLine="5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（2）设备采购均采用公开招标方式，力求做到规范化、标准化，确保招标工作公平、公正、公开。</w:t>
      </w:r>
    </w:p>
    <w:p>
      <w:pPr>
        <w:ind w:firstLine="560"/>
        <w:rPr>
          <w:rFonts w:ascii="Times New Roman" w:hAnsi="Times New Roman" w:cs="Times New Roman"/>
          <w:color w:val="000000" w:themeColor="text1"/>
          <w:szCs w:val="28"/>
          <w:highlight w:val="none"/>
          <w14:textFill>
            <w14:solidFill>
              <w14:schemeClr w14:val="tx1"/>
            </w14:solidFill>
          </w14:textFill>
        </w:rPr>
      </w:pPr>
      <w:r>
        <w:rPr>
          <w:color w:val="000000" w:themeColor="text1"/>
          <w:highlight w:val="none"/>
          <w14:textFill>
            <w14:solidFill>
              <w14:schemeClr w14:val="tx1"/>
            </w14:solidFill>
          </w14:textFill>
        </w:rPr>
        <w:t>（3）项目招标的评标人员应是省内相关领域的专家。</w:t>
      </w:r>
    </w:p>
    <w:p>
      <w:pPr>
        <w:pStyle w:val="4"/>
        <w:ind w:firstLine="600"/>
        <w:rPr>
          <w:rFonts w:hint="eastAsia" w:eastAsia="方正大标宋简体"/>
          <w:color w:val="000000" w:themeColor="text1"/>
          <w:highlight w:val="none"/>
          <w:lang w:eastAsia="zh-CN"/>
          <w14:textFill>
            <w14:solidFill>
              <w14:schemeClr w14:val="tx1"/>
            </w14:solidFill>
          </w14:textFill>
        </w:rPr>
      </w:pPr>
      <w:bookmarkStart w:id="333" w:name="_Toc516447983"/>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.3.3其</w:t>
      </w:r>
      <w:bookmarkEnd w:id="333"/>
      <w:r>
        <w:rPr>
          <w:rFonts w:hint="eastAsia"/>
          <w:color w:val="000000" w:themeColor="text1"/>
          <w:highlight w:val="none"/>
          <w:lang w:eastAsia="zh-CN"/>
          <w14:textFill>
            <w14:solidFill>
              <w14:schemeClr w14:val="tx1"/>
            </w14:solidFill>
          </w14:textFill>
        </w:rPr>
        <w:t>他</w:t>
      </w:r>
    </w:p>
    <w:p>
      <w:pPr>
        <w:ind w:firstLine="560"/>
        <w:rPr>
          <w:rFonts w:hint="eastAsia" w:ascii="仿宋" w:hAnsi="仿宋" w:eastAsia="仿宋" w:cs="仿宋"/>
          <w:color w:val="000000" w:themeColor="text1"/>
          <w:szCs w:val="28"/>
          <w:highlight w:val="none"/>
          <w14:textFill>
            <w14:solidFill>
              <w14:schemeClr w14:val="tx1"/>
            </w14:solidFill>
          </w14:textFill>
        </w:rPr>
      </w:pPr>
      <w:r>
        <w:rPr>
          <w:rFonts w:ascii="Times New Roman" w:hAnsi="Times New Roman" w:cs="Times New Roman"/>
          <w:color w:val="000000" w:themeColor="text1"/>
          <w:szCs w:val="28"/>
          <w:highlight w:val="none"/>
          <w14:textFill>
            <w14:solidFill>
              <w14:schemeClr w14:val="tx1"/>
            </w14:solidFill>
          </w14:textFill>
        </w:rPr>
        <w:t>本项目招标活动中的招标范围、招标组织形式及招标方式报项目审批部门核准。经核准后如建设单位再做出变更，重新向原审批部门办理变更</w:t>
      </w:r>
      <w:r>
        <w:rPr>
          <w:rFonts w:hint="eastAsia" w:ascii="仿宋" w:hAnsi="仿宋" w:eastAsia="仿宋" w:cs="仿宋"/>
          <w:color w:val="000000" w:themeColor="text1"/>
          <w:szCs w:val="28"/>
          <w:highlight w:val="none"/>
          <w14:textFill>
            <w14:solidFill>
              <w14:schemeClr w14:val="tx1"/>
            </w14:solidFill>
          </w14:textFill>
        </w:rPr>
        <w:t>审批手续。</w:t>
      </w:r>
    </w:p>
    <w:p>
      <w:pPr>
        <w:ind w:firstLine="560"/>
        <w:rPr>
          <w:rFonts w:hint="eastAsia" w:ascii="仿宋" w:hAnsi="仿宋" w:eastAsia="仿宋" w:cs="仿宋"/>
          <w:color w:val="000000" w:themeColor="text1"/>
          <w:szCs w:val="28"/>
          <w:highlight w:val="none"/>
          <w14:textFill>
            <w14:solidFill>
              <w14:schemeClr w14:val="tx1"/>
            </w14:solidFill>
          </w14:textFill>
        </w:rPr>
      </w:pPr>
      <w:r>
        <w:rPr>
          <w:rFonts w:hint="eastAsia" w:ascii="仿宋" w:hAnsi="仿宋" w:eastAsia="仿宋" w:cs="仿宋"/>
          <w:color w:val="000000" w:themeColor="text1"/>
          <w:szCs w:val="28"/>
          <w:highlight w:val="none"/>
          <w14:textFill>
            <w14:solidFill>
              <w14:schemeClr w14:val="tx1"/>
            </w14:solidFill>
          </w14:textFill>
        </w:rPr>
        <w:t>项目审批部门将核准本项目招标内容的意见抄送有关行政监督部门，如项目建设单位在招标内容中弄虚作假或者在招标活动中违反项目审批部门的核准事项，由项目审批部门和有关行政监督部门按照国办发（2002）34号文的规定对项目建设单位依法进行处罚。</w:t>
      </w:r>
    </w:p>
    <w:p>
      <w:pPr>
        <w:pStyle w:val="4"/>
        <w:ind w:firstLine="600"/>
        <w:rPr>
          <w:color w:val="000000" w:themeColor="text1"/>
          <w:highlight w:val="none"/>
          <w14:textFill>
            <w14:solidFill>
              <w14:schemeClr w14:val="tx1"/>
            </w14:solidFill>
          </w14:textFill>
        </w:rPr>
      </w:pPr>
      <w:bookmarkStart w:id="334" w:name="_Toc516447984"/>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.3.4固定资产投资建设项目招标基本情况表</w:t>
      </w:r>
      <w:bookmarkEnd w:id="334"/>
    </w:p>
    <w:p>
      <w:pPr>
        <w:spacing w:line="240" w:lineRule="auto"/>
        <w:ind w:firstLine="0" w:firstLineChars="0"/>
        <w:jc w:val="center"/>
        <w:rPr>
          <w:rFonts w:ascii="Times New Roman" w:hAnsi="Times New Roman" w:cs="Times New Roman"/>
          <w:b/>
          <w:bCs/>
          <w:color w:val="000000" w:themeColor="text1"/>
          <w:szCs w:val="28"/>
          <w:highlight w:val="none"/>
          <w14:textFill>
            <w14:solidFill>
              <w14:schemeClr w14:val="tx1"/>
            </w14:solidFill>
          </w14:textFill>
        </w:rPr>
      </w:pPr>
      <w:r>
        <w:rPr>
          <w:rFonts w:ascii="Times New Roman" w:hAnsi="Times New Roman" w:cs="Times New Roman"/>
          <w:b/>
          <w:bCs/>
          <w:color w:val="000000" w:themeColor="text1"/>
          <w:sz w:val="24"/>
          <w:highlight w:val="none"/>
          <w14:textFill>
            <w14:solidFill>
              <w14:schemeClr w14:val="tx1"/>
            </w14:solidFill>
          </w14:textFill>
        </w:rPr>
        <w:t>固定资产投资建设项目招标基本情况表</w:t>
      </w:r>
    </w:p>
    <w:p>
      <w:pPr>
        <w:spacing w:line="240" w:lineRule="auto"/>
        <w:ind w:firstLine="0" w:firstLineChars="0"/>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w:t>
      </w:r>
      <w:r>
        <w:rPr>
          <w:rFonts w:hint="eastAsia"/>
          <w:b/>
          <w:bCs/>
          <w:color w:val="000000" w:themeColor="text1"/>
          <w:sz w:val="21"/>
          <w:szCs w:val="21"/>
          <w:highlight w:val="none"/>
          <w:lang w:val="en-US" w:eastAsia="zh-CN"/>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-1</w:t>
      </w:r>
    </w:p>
    <w:tbl>
      <w:tblPr>
        <w:tblStyle w:val="40"/>
        <w:tblW w:w="9102" w:type="dxa"/>
        <w:jc w:val="center"/>
        <w:tblLayout w:type="fixed"/>
        <w:tblCellMar>
          <w:top w:w="0" w:type="dxa"/>
          <w:left w:w="0" w:type="dxa"/>
          <w:bottom w:w="0" w:type="dxa"/>
          <w:right w:w="0" w:type="dxa"/>
        </w:tblCellMar>
      </w:tblPr>
      <w:tblGrid>
        <w:gridCol w:w="1364"/>
        <w:gridCol w:w="1198"/>
        <w:gridCol w:w="1046"/>
        <w:gridCol w:w="1197"/>
        <w:gridCol w:w="570"/>
        <w:gridCol w:w="628"/>
        <w:gridCol w:w="1382"/>
        <w:gridCol w:w="1717"/>
      </w:tblGrid>
      <w:tr>
        <w:tblPrEx>
          <w:tblCellMar>
            <w:top w:w="0" w:type="dxa"/>
            <w:left w:w="0" w:type="dxa"/>
            <w:bottom w:w="0" w:type="dxa"/>
            <w:right w:w="0" w:type="dxa"/>
          </w:tblCellMar>
        </w:tblPrEx>
        <w:trPr>
          <w:trHeight w:val="847" w:hRule="exact"/>
          <w:jc w:val="center"/>
        </w:trPr>
        <w:tc>
          <w:tcPr>
            <w:tcW w:w="1364"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项  目</w:t>
            </w:r>
          </w:p>
        </w:tc>
        <w:tc>
          <w:tcPr>
            <w:tcW w:w="1198" w:type="dxa"/>
            <w:tcBorders>
              <w:top w:val="double" w:color="auto" w:sz="4"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招标范围</w:t>
            </w:r>
          </w:p>
        </w:tc>
        <w:tc>
          <w:tcPr>
            <w:tcW w:w="1046" w:type="dxa"/>
            <w:tcBorders>
              <w:top w:val="double" w:color="auto" w:sz="4"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招标细</w:t>
            </w:r>
          </w:p>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项名称</w:t>
            </w:r>
          </w:p>
        </w:tc>
        <w:tc>
          <w:tcPr>
            <w:tcW w:w="1197" w:type="dxa"/>
            <w:tcBorders>
              <w:top w:val="double" w:color="auto" w:sz="4"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招标组</w:t>
            </w:r>
          </w:p>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织形式</w:t>
            </w:r>
          </w:p>
        </w:tc>
        <w:tc>
          <w:tcPr>
            <w:tcW w:w="1198" w:type="dxa"/>
            <w:gridSpan w:val="2"/>
            <w:tcBorders>
              <w:top w:val="double" w:color="auto" w:sz="4"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招标</w:t>
            </w:r>
          </w:p>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方式</w:t>
            </w:r>
          </w:p>
        </w:tc>
        <w:tc>
          <w:tcPr>
            <w:tcW w:w="1382" w:type="dxa"/>
            <w:tcBorders>
              <w:top w:val="double" w:color="auto" w:sz="4"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不采用</w:t>
            </w:r>
          </w:p>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招标形式</w:t>
            </w:r>
          </w:p>
        </w:tc>
        <w:tc>
          <w:tcPr>
            <w:tcW w:w="1717" w:type="dxa"/>
            <w:tcBorders>
              <w:top w:val="double" w:color="auto" w:sz="4" w:space="0"/>
              <w:left w:val="nil"/>
              <w:bottom w:val="single" w:color="auto" w:sz="6" w:space="0"/>
              <w:right w:val="double" w:color="auto" w:sz="4" w:space="0"/>
            </w:tcBorders>
            <w:vAlign w:val="center"/>
          </w:tcPr>
          <w:p>
            <w:pPr>
              <w:autoSpaceDE w:val="0"/>
              <w:autoSpaceDN w:val="0"/>
              <w:adjustRightInd w:val="0"/>
              <w:spacing w:line="240" w:lineRule="exact"/>
              <w:ind w:firstLine="0" w:firstLineChars="0"/>
              <w:jc w:val="center"/>
              <w:rPr>
                <w:rFonts w:ascii="Times New Roman" w:hAnsi="Times New Roman" w:cs="Times New Roman"/>
                <w:b/>
                <w:color w:val="000000" w:themeColor="text1"/>
                <w:sz w:val="24"/>
                <w:highlight w:val="none"/>
                <w:lang w:val="zh-CN"/>
                <w14:textFill>
                  <w14:solidFill>
                    <w14:schemeClr w14:val="tx1"/>
                  </w14:solidFill>
                </w14:textFill>
              </w:rPr>
            </w:pPr>
            <w:r>
              <w:rPr>
                <w:rFonts w:ascii="Times New Roman" w:hAnsi="Times New Roman" w:cs="Times New Roman"/>
                <w:b/>
                <w:color w:val="000000" w:themeColor="text1"/>
                <w:sz w:val="24"/>
                <w:highlight w:val="none"/>
                <w:lang w:val="zh-CN"/>
                <w14:textFill>
                  <w14:solidFill>
                    <w14:schemeClr w14:val="tx1"/>
                  </w14:solidFill>
                </w14:textFill>
              </w:rPr>
              <w:t>备    注</w:t>
            </w:r>
          </w:p>
        </w:tc>
      </w:tr>
      <w:tr>
        <w:tblPrEx>
          <w:tblCellMar>
            <w:top w:w="0" w:type="dxa"/>
            <w:left w:w="0" w:type="dxa"/>
            <w:bottom w:w="0" w:type="dxa"/>
            <w:right w:w="0" w:type="dxa"/>
          </w:tblCellMar>
        </w:tblPrEx>
        <w:trPr>
          <w:trHeight w:val="454" w:hRule="exact"/>
          <w:jc w:val="center"/>
        </w:trPr>
        <w:tc>
          <w:tcPr>
            <w:tcW w:w="1364" w:type="dxa"/>
            <w:tcBorders>
              <w:top w:val="single" w:color="auto" w:sz="6" w:space="0"/>
              <w:left w:val="double" w:color="auto" w:sz="4" w:space="0"/>
              <w:bottom w:val="single" w:color="auto" w:sz="6" w:space="0"/>
              <w:right w:val="nil"/>
            </w:tcBorders>
            <w:vAlign w:val="center"/>
          </w:tcPr>
          <w:p>
            <w:pPr>
              <w:autoSpaceDE w:val="0"/>
              <w:autoSpaceDN w:val="0"/>
              <w:adjustRightInd w:val="0"/>
              <w:spacing w:line="240" w:lineRule="exact"/>
              <w:ind w:firstLine="0" w:firstLineChars="0"/>
              <w:jc w:val="center"/>
              <w:rPr>
                <w:rFonts w:hint="eastAsia" w:ascii="Times New Roman" w:hAnsi="Times New Roman" w:cs="Times New Roman"/>
                <w:color w:val="000000" w:themeColor="text1"/>
                <w:sz w:val="24"/>
                <w:highlight w:val="none"/>
                <w:lang w:val="zh-CN"/>
                <w14:textFill>
                  <w14:solidFill>
                    <w14:schemeClr w14:val="tx1"/>
                  </w14:solidFill>
                </w14:textFill>
              </w:rPr>
            </w:pPr>
            <w:r>
              <w:rPr>
                <w:rFonts w:hint="eastAsia" w:ascii="Times New Roman" w:hAnsi="Times New Roman" w:cs="Times New Roman"/>
                <w:color w:val="000000" w:themeColor="text1"/>
                <w:sz w:val="24"/>
                <w:highlight w:val="none"/>
                <w:lang w:val="zh-CN"/>
                <w14:textFill>
                  <w14:solidFill>
                    <w14:schemeClr w14:val="tx1"/>
                  </w14:solidFill>
                </w14:textFill>
              </w:rPr>
              <w:t>建筑工程</w:t>
            </w:r>
          </w:p>
        </w:tc>
        <w:tc>
          <w:tcPr>
            <w:tcW w:w="119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eastAsia="仿宋" w:cs="Times New Roman"/>
                <w:color w:val="000000" w:themeColor="text1"/>
                <w:kern w:val="2"/>
                <w:sz w:val="24"/>
                <w:szCs w:val="24"/>
                <w:highlight w:val="none"/>
                <w:lang w:val="zh-CN" w:eastAsia="zh-CN" w:bidi="ar-SA"/>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全部招标</w:t>
            </w:r>
          </w:p>
        </w:tc>
        <w:tc>
          <w:tcPr>
            <w:tcW w:w="1046"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p>
        </w:tc>
        <w:tc>
          <w:tcPr>
            <w:tcW w:w="1197"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eastAsia="仿宋" w:cs="Times New Roman"/>
                <w:color w:val="000000" w:themeColor="text1"/>
                <w:kern w:val="2"/>
                <w:sz w:val="24"/>
                <w:szCs w:val="24"/>
                <w:highlight w:val="none"/>
                <w:lang w:val="zh-CN" w:eastAsia="zh-CN" w:bidi="ar-SA"/>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委托招标</w:t>
            </w:r>
          </w:p>
        </w:tc>
        <w:tc>
          <w:tcPr>
            <w:tcW w:w="1198"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eastAsia="仿宋" w:cs="Times New Roman"/>
                <w:color w:val="000000" w:themeColor="text1"/>
                <w:kern w:val="2"/>
                <w:sz w:val="24"/>
                <w:szCs w:val="24"/>
                <w:highlight w:val="none"/>
                <w:lang w:val="zh-CN" w:eastAsia="zh-CN" w:bidi="ar-SA"/>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公开招标</w:t>
            </w:r>
          </w:p>
        </w:tc>
        <w:tc>
          <w:tcPr>
            <w:tcW w:w="1382"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eastAsia="仿宋" w:cs="Times New Roman"/>
                <w:color w:val="000000" w:themeColor="text1"/>
                <w:kern w:val="2"/>
                <w:sz w:val="24"/>
                <w:szCs w:val="24"/>
                <w:highlight w:val="none"/>
                <w:lang w:val="zh-CN" w:eastAsia="zh-CN" w:bidi="ar-SA"/>
                <w14:textFill>
                  <w14:solidFill>
                    <w14:schemeClr w14:val="tx1"/>
                  </w14:solidFill>
                </w14:textFill>
              </w:rPr>
            </w:pPr>
          </w:p>
        </w:tc>
        <w:tc>
          <w:tcPr>
            <w:tcW w:w="1717" w:type="dxa"/>
            <w:tcBorders>
              <w:top w:val="single" w:color="auto" w:sz="6" w:space="0"/>
              <w:left w:val="nil"/>
              <w:bottom w:val="single" w:color="auto" w:sz="6" w:space="0"/>
              <w:right w:val="double" w:color="auto" w:sz="4"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r>
      <w:tr>
        <w:tblPrEx>
          <w:tblCellMar>
            <w:top w:w="0" w:type="dxa"/>
            <w:left w:w="0" w:type="dxa"/>
            <w:bottom w:w="0" w:type="dxa"/>
            <w:right w:w="0" w:type="dxa"/>
          </w:tblCellMar>
        </w:tblPrEx>
        <w:trPr>
          <w:trHeight w:val="454" w:hRule="exact"/>
          <w:jc w:val="center"/>
        </w:trPr>
        <w:tc>
          <w:tcPr>
            <w:tcW w:w="1364" w:type="dxa"/>
            <w:tcBorders>
              <w:top w:val="single" w:color="auto" w:sz="6" w:space="0"/>
              <w:left w:val="double" w:color="auto" w:sz="4" w:space="0"/>
              <w:bottom w:val="single" w:color="auto" w:sz="6" w:space="0"/>
              <w:right w:val="nil"/>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r>
              <w:rPr>
                <w:rFonts w:hint="eastAsia" w:ascii="Times New Roman" w:hAnsi="Times New Roman" w:cs="Times New Roman"/>
                <w:color w:val="000000" w:themeColor="text1"/>
                <w:sz w:val="24"/>
                <w:highlight w:val="none"/>
                <w:lang w:val="zh-CN"/>
                <w14:textFill>
                  <w14:solidFill>
                    <w14:schemeClr w14:val="tx1"/>
                  </w14:solidFill>
                </w14:textFill>
              </w:rPr>
              <w:t>设备购置</w:t>
            </w:r>
          </w:p>
        </w:tc>
        <w:tc>
          <w:tcPr>
            <w:tcW w:w="119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全部招标</w:t>
            </w:r>
          </w:p>
        </w:tc>
        <w:tc>
          <w:tcPr>
            <w:tcW w:w="1046"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197"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委托招标</w:t>
            </w:r>
          </w:p>
        </w:tc>
        <w:tc>
          <w:tcPr>
            <w:tcW w:w="1198"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公开招标</w:t>
            </w:r>
          </w:p>
        </w:tc>
        <w:tc>
          <w:tcPr>
            <w:tcW w:w="1382"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c>
          <w:tcPr>
            <w:tcW w:w="1717" w:type="dxa"/>
            <w:tcBorders>
              <w:top w:val="single" w:color="auto" w:sz="6" w:space="0"/>
              <w:left w:val="nil"/>
              <w:bottom w:val="single" w:color="auto" w:sz="6" w:space="0"/>
              <w:right w:val="double" w:color="auto" w:sz="4"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r>
      <w:tr>
        <w:tblPrEx>
          <w:tblCellMar>
            <w:top w:w="0" w:type="dxa"/>
            <w:left w:w="0" w:type="dxa"/>
            <w:bottom w:w="0" w:type="dxa"/>
            <w:right w:w="0" w:type="dxa"/>
          </w:tblCellMar>
        </w:tblPrEx>
        <w:trPr>
          <w:trHeight w:val="454" w:hRule="exact"/>
          <w:jc w:val="center"/>
        </w:trPr>
        <w:tc>
          <w:tcPr>
            <w:tcW w:w="1364" w:type="dxa"/>
            <w:tcBorders>
              <w:top w:val="single" w:color="auto" w:sz="6" w:space="0"/>
              <w:left w:val="double" w:color="auto" w:sz="4" w:space="0"/>
              <w:bottom w:val="single" w:color="auto" w:sz="6" w:space="0"/>
              <w:right w:val="nil"/>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其他</w:t>
            </w:r>
          </w:p>
        </w:tc>
        <w:tc>
          <w:tcPr>
            <w:tcW w:w="119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c>
          <w:tcPr>
            <w:tcW w:w="1046"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14:textFill>
                  <w14:solidFill>
                    <w14:schemeClr w14:val="tx1"/>
                  </w14:solidFill>
                </w14:textFill>
              </w:rPr>
            </w:pPr>
          </w:p>
        </w:tc>
        <w:tc>
          <w:tcPr>
            <w:tcW w:w="1197"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c>
          <w:tcPr>
            <w:tcW w:w="1198" w:type="dxa"/>
            <w:gridSpan w:val="2"/>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c>
          <w:tcPr>
            <w:tcW w:w="1382" w:type="dxa"/>
            <w:tcBorders>
              <w:top w:val="single" w:color="auto" w:sz="6" w:space="0"/>
              <w:left w:val="nil"/>
              <w:bottom w:val="single" w:color="auto" w:sz="6" w:space="0"/>
              <w:right w:val="single" w:color="auto" w:sz="6"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c>
          <w:tcPr>
            <w:tcW w:w="1717" w:type="dxa"/>
            <w:tcBorders>
              <w:top w:val="single" w:color="auto" w:sz="6" w:space="0"/>
              <w:left w:val="nil"/>
              <w:bottom w:val="single" w:color="auto" w:sz="6" w:space="0"/>
              <w:right w:val="double" w:color="auto" w:sz="4" w:space="0"/>
            </w:tcBorders>
            <w:vAlign w:val="center"/>
          </w:tcPr>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tc>
      </w:tr>
      <w:tr>
        <w:tblPrEx>
          <w:tblCellMar>
            <w:top w:w="0" w:type="dxa"/>
            <w:left w:w="0" w:type="dxa"/>
            <w:bottom w:w="0" w:type="dxa"/>
            <w:right w:w="0" w:type="dxa"/>
          </w:tblCellMar>
        </w:tblPrEx>
        <w:trPr>
          <w:trHeight w:val="1427" w:hRule="atLeast"/>
          <w:jc w:val="center"/>
        </w:trPr>
        <w:tc>
          <w:tcPr>
            <w:tcW w:w="5375" w:type="dxa"/>
            <w:gridSpan w:val="5"/>
            <w:tcBorders>
              <w:top w:val="single" w:color="auto" w:sz="6" w:space="0"/>
              <w:left w:val="double" w:color="auto" w:sz="4" w:space="0"/>
              <w:bottom w:val="double" w:color="auto" w:sz="4" w:space="0"/>
              <w:right w:val="single" w:color="auto" w:sz="6" w:space="0"/>
            </w:tcBorders>
            <w:vAlign w:val="center"/>
          </w:tcPr>
          <w:p>
            <w:pPr>
              <w:autoSpaceDE w:val="0"/>
              <w:autoSpaceDN w:val="0"/>
              <w:adjustRightInd w:val="0"/>
              <w:spacing w:line="240" w:lineRule="exact"/>
              <w:ind w:firstLine="0" w:firstLineChars="0"/>
              <w:rPr>
                <w:rFonts w:ascii="Times New Roman" w:hAnsi="Times New Roman" w:cs="Times New Roman"/>
                <w:color w:val="000000" w:themeColor="text1"/>
                <w:sz w:val="24"/>
                <w:highlight w:val="none"/>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情况说明：</w:t>
            </w:r>
          </w:p>
          <w:p>
            <w:pPr>
              <w:autoSpaceDE w:val="0"/>
              <w:autoSpaceDN w:val="0"/>
              <w:adjustRightInd w:val="0"/>
              <w:spacing w:line="240" w:lineRule="exact"/>
              <w:ind w:firstLine="0" w:firstLineChars="0"/>
              <w:rPr>
                <w:rFonts w:ascii="Times New Roman" w:hAnsi="Times New Roman" w:cs="Times New Roman"/>
                <w:color w:val="000000" w:themeColor="text1"/>
                <w:sz w:val="24"/>
                <w:highlight w:val="none"/>
                <w14:textFill>
                  <w14:solidFill>
                    <w14:schemeClr w14:val="tx1"/>
                  </w14:solidFill>
                </w14:textFill>
              </w:rPr>
            </w:pPr>
          </w:p>
          <w:p>
            <w:pPr>
              <w:autoSpaceDE w:val="0"/>
              <w:autoSpaceDN w:val="0"/>
              <w:adjustRightInd w:val="0"/>
              <w:spacing w:line="240" w:lineRule="exact"/>
              <w:ind w:firstLine="0" w:firstLineChars="0"/>
              <w:rPr>
                <w:rFonts w:ascii="Times New Roman" w:hAnsi="Times New Roman" w:cs="Times New Roman"/>
                <w:color w:val="000000" w:themeColor="text1"/>
                <w:sz w:val="24"/>
                <w:highlight w:val="none"/>
                <w14:textFill>
                  <w14:solidFill>
                    <w14:schemeClr w14:val="tx1"/>
                  </w14:solidFill>
                </w14:textFill>
              </w:rPr>
            </w:pPr>
          </w:p>
          <w:p>
            <w:pPr>
              <w:autoSpaceDE w:val="0"/>
              <w:autoSpaceDN w:val="0"/>
              <w:adjustRightInd w:val="0"/>
              <w:spacing w:line="240" w:lineRule="exact"/>
              <w:ind w:firstLine="0" w:firstLineChars="0"/>
              <w:rPr>
                <w:rFonts w:ascii="Times New Roman" w:hAnsi="Times New Roman" w:cs="Times New Roman"/>
                <w:color w:val="000000" w:themeColor="text1"/>
                <w:sz w:val="24"/>
                <w:highlight w:val="none"/>
                <w:lang w:val="zh-CN"/>
                <w14:textFill>
                  <w14:solidFill>
                    <w14:schemeClr w14:val="tx1"/>
                  </w14:solidFill>
                </w14:textFill>
              </w:rPr>
            </w:pPr>
          </w:p>
        </w:tc>
        <w:tc>
          <w:tcPr>
            <w:tcW w:w="3727" w:type="dxa"/>
            <w:gridSpan w:val="3"/>
            <w:tcBorders>
              <w:top w:val="single" w:color="auto" w:sz="6" w:space="0"/>
              <w:left w:val="double" w:color="auto" w:sz="4" w:space="0"/>
              <w:bottom w:val="double" w:color="auto" w:sz="4" w:space="0"/>
              <w:right w:val="double" w:color="auto" w:sz="4" w:space="0"/>
            </w:tcBorders>
            <w:vAlign w:val="center"/>
          </w:tcPr>
          <w:p>
            <w:pPr>
              <w:autoSpaceDE w:val="0"/>
              <w:autoSpaceDN w:val="0"/>
              <w:adjustRightInd w:val="0"/>
              <w:spacing w:line="240" w:lineRule="exact"/>
              <w:ind w:firstLine="0" w:firstLineChars="0"/>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建设单位盖章</w:t>
            </w:r>
          </w:p>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p>
            <w:pPr>
              <w:autoSpaceDE w:val="0"/>
              <w:autoSpaceDN w:val="0"/>
              <w:adjustRightInd w:val="0"/>
              <w:spacing w:line="240" w:lineRule="exact"/>
              <w:ind w:firstLine="0" w:firstLineChars="0"/>
              <w:jc w:val="center"/>
              <w:rPr>
                <w:rFonts w:ascii="Times New Roman" w:hAnsi="Times New Roman" w:cs="Times New Roman"/>
                <w:color w:val="000000" w:themeColor="text1"/>
                <w:sz w:val="24"/>
                <w:highlight w:val="none"/>
                <w:lang w:val="zh-CN"/>
                <w14:textFill>
                  <w14:solidFill>
                    <w14:schemeClr w14:val="tx1"/>
                  </w14:solidFill>
                </w14:textFill>
              </w:rPr>
            </w:pPr>
          </w:p>
          <w:p>
            <w:pPr>
              <w:autoSpaceDE w:val="0"/>
              <w:autoSpaceDN w:val="0"/>
              <w:adjustRightInd w:val="0"/>
              <w:spacing w:line="240" w:lineRule="exact"/>
              <w:ind w:firstLine="0" w:firstLineChars="0"/>
              <w:jc w:val="right"/>
              <w:rPr>
                <w:rFonts w:ascii="Times New Roman" w:hAnsi="Times New Roman" w:cs="Times New Roman"/>
                <w:color w:val="000000" w:themeColor="text1"/>
                <w:sz w:val="24"/>
                <w:highlight w:val="none"/>
                <w:lang w:val="zh-CN"/>
                <w14:textFill>
                  <w14:solidFill>
                    <w14:schemeClr w14:val="tx1"/>
                  </w14:solidFill>
                </w14:textFill>
              </w:rPr>
            </w:pPr>
            <w:r>
              <w:rPr>
                <w:rFonts w:ascii="Times New Roman" w:hAnsi="Times New Roman" w:cs="Times New Roman"/>
                <w:color w:val="000000" w:themeColor="text1"/>
                <w:sz w:val="24"/>
                <w:highlight w:val="none"/>
                <w:lang w:val="zh-CN"/>
                <w14:textFill>
                  <w14:solidFill>
                    <w14:schemeClr w14:val="tx1"/>
                  </w14:solidFill>
                </w14:textFill>
              </w:rPr>
              <w:t>年  月  日</w:t>
            </w:r>
          </w:p>
        </w:tc>
      </w:tr>
    </w:tbl>
    <w:p>
      <w:pPr>
        <w:spacing w:line="240" w:lineRule="atLeast"/>
        <w:ind w:left="0" w:leftChars="0" w:firstLine="0" w:firstLineChars="0"/>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注：1、招标范围分为全部招标和部分招标；</w:t>
      </w:r>
    </w:p>
    <w:p>
      <w:pPr>
        <w:spacing w:line="240" w:lineRule="atLeast"/>
        <w:ind w:firstLine="422"/>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2、招标组织形式分为委托招标；</w:t>
      </w:r>
    </w:p>
    <w:p>
      <w:pPr>
        <w:spacing w:line="240" w:lineRule="atLeast"/>
        <w:ind w:firstLine="422"/>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3、招标方式分为公开招标；</w:t>
      </w:r>
    </w:p>
    <w:p>
      <w:pPr>
        <w:spacing w:line="240" w:lineRule="atLeast"/>
        <w:ind w:firstLine="422"/>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4、招标估算金额应与可行性研究报告相统一；</w:t>
      </w:r>
    </w:p>
    <w:p>
      <w:pPr>
        <w:spacing w:line="240" w:lineRule="atLeast"/>
        <w:ind w:firstLine="422"/>
        <w:rPr>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5、不采用招标方式的必须在备注中说明理由；</w:t>
      </w:r>
    </w:p>
    <w:p>
      <w:pPr>
        <w:spacing w:line="240" w:lineRule="atLeast"/>
        <w:ind w:firstLine="422"/>
        <w:rPr>
          <w:rFonts w:ascii="Times New Roman" w:hAnsi="Times New Roman" w:cs="Times New Roman"/>
          <w:b/>
          <w:bCs/>
          <w:color w:val="000000" w:themeColor="text1"/>
          <w:sz w:val="21"/>
          <w:szCs w:val="21"/>
          <w:highlight w:val="none"/>
          <w:lang w:val="zh-CN"/>
          <w14:textFill>
            <w14:solidFill>
              <w14:schemeClr w14:val="tx1"/>
            </w14:solidFill>
          </w14:textFill>
        </w:rPr>
      </w:pPr>
      <w:r>
        <w:rPr>
          <w:rFonts w:hint="eastAsia"/>
          <w:b/>
          <w:bCs/>
          <w:color w:val="000000" w:themeColor="text1"/>
          <w:sz w:val="21"/>
          <w:szCs w:val="21"/>
          <w:highlight w:val="none"/>
          <w:lang w:val="zh-CN"/>
          <w14:textFill>
            <w14:solidFill>
              <w14:schemeClr w14:val="tx1"/>
            </w14:solidFill>
          </w14:textFill>
        </w:rPr>
        <w:t>6、未进行全部招标的，应在情况说明中列明未进行招标的具体细项和理由说明。其它表中未尽事项，也可在情况说明中进行阐述。</w:t>
      </w:r>
    </w:p>
    <w:p>
      <w:pPr>
        <w:pStyle w:val="2"/>
        <w:keepNext w:val="0"/>
        <w:keepLines w:val="0"/>
        <w:ind w:firstLine="723"/>
        <w:rPr>
          <w:rFonts w:cs="Times New Roman"/>
          <w:color w:val="000000" w:themeColor="text1"/>
          <w:szCs w:val="36"/>
          <w:highlight w:val="none"/>
          <w14:textFill>
            <w14:solidFill>
              <w14:schemeClr w14:val="tx1"/>
            </w14:solidFill>
          </w14:textFill>
        </w:rPr>
      </w:pPr>
      <w:bookmarkStart w:id="335" w:name="_Toc20166"/>
      <w:r>
        <w:rPr>
          <w:rFonts w:cs="Times New Roman"/>
          <w:color w:val="000000" w:themeColor="text1"/>
          <w:szCs w:val="36"/>
          <w:highlight w:val="none"/>
          <w14:textFill>
            <w14:solidFill>
              <w14:schemeClr w14:val="tx1"/>
            </w14:solidFill>
          </w14:textFill>
        </w:rPr>
        <w:t>第</w:t>
      </w:r>
      <w:r>
        <w:rPr>
          <w:rFonts w:hint="eastAsia" w:cs="Times New Roman"/>
          <w:color w:val="000000" w:themeColor="text1"/>
          <w:szCs w:val="36"/>
          <w:highlight w:val="none"/>
          <w:lang w:val="en-US" w:eastAsia="zh-CN"/>
          <w14:textFill>
            <w14:solidFill>
              <w14:schemeClr w14:val="tx1"/>
            </w14:solidFill>
          </w14:textFill>
        </w:rPr>
        <w:t>13</w:t>
      </w:r>
      <w:r>
        <w:rPr>
          <w:rFonts w:cs="Times New Roman"/>
          <w:color w:val="000000" w:themeColor="text1"/>
          <w:szCs w:val="36"/>
          <w:highlight w:val="none"/>
          <w14:textFill>
            <w14:solidFill>
              <w14:schemeClr w14:val="tx1"/>
            </w14:solidFill>
          </w14:textFill>
        </w:rPr>
        <w:t xml:space="preserve">章 </w:t>
      </w:r>
      <w:r>
        <w:rPr>
          <w:rFonts w:hint="eastAsia" w:cs="Times New Roman"/>
          <w:color w:val="000000" w:themeColor="text1"/>
          <w:szCs w:val="36"/>
          <w:highlight w:val="none"/>
          <w:lang w:val="en-US" w:eastAsia="zh-CN"/>
          <w14:textFill>
            <w14:solidFill>
              <w14:schemeClr w14:val="tx1"/>
            </w14:solidFill>
          </w14:textFill>
        </w:rPr>
        <w:t xml:space="preserve"> </w:t>
      </w:r>
      <w:r>
        <w:rPr>
          <w:rFonts w:cs="Times New Roman"/>
          <w:color w:val="000000" w:themeColor="text1"/>
          <w:szCs w:val="36"/>
          <w:highlight w:val="none"/>
          <w14:textFill>
            <w14:solidFill>
              <w14:schemeClr w14:val="tx1"/>
            </w14:solidFill>
          </w14:textFill>
        </w:rPr>
        <w:t>投资</w:t>
      </w:r>
      <w:r>
        <w:rPr>
          <w:rFonts w:hint="eastAsia" w:cs="Times New Roman"/>
          <w:color w:val="000000" w:themeColor="text1"/>
          <w:szCs w:val="36"/>
          <w:highlight w:val="none"/>
          <w:lang w:eastAsia="zh-CN"/>
          <w14:textFill>
            <w14:solidFill>
              <w14:schemeClr w14:val="tx1"/>
            </w14:solidFill>
          </w14:textFill>
        </w:rPr>
        <w:t>概算</w:t>
      </w:r>
      <w:r>
        <w:rPr>
          <w:rFonts w:cs="Times New Roman"/>
          <w:color w:val="000000" w:themeColor="text1"/>
          <w:szCs w:val="36"/>
          <w:highlight w:val="none"/>
          <w14:textFill>
            <w14:solidFill>
              <w14:schemeClr w14:val="tx1"/>
            </w14:solidFill>
          </w14:textFill>
        </w:rPr>
        <w:t>与资金筹措</w:t>
      </w:r>
      <w:bookmarkEnd w:id="321"/>
      <w:bookmarkEnd w:id="335"/>
    </w:p>
    <w:p>
      <w:pPr>
        <w:pStyle w:val="3"/>
        <w:spacing w:before="192" w:after="216"/>
        <w:rPr>
          <w:color w:val="000000" w:themeColor="text1"/>
          <w:highlight w:val="none"/>
          <w14:textFill>
            <w14:solidFill>
              <w14:schemeClr w14:val="tx1"/>
            </w14:solidFill>
          </w14:textFill>
        </w:rPr>
      </w:pPr>
      <w:bookmarkStart w:id="336" w:name="_Toc234634953"/>
      <w:bookmarkStart w:id="337" w:name="_Toc388513324"/>
      <w:bookmarkStart w:id="338" w:name="_Toc6009"/>
      <w:bookmarkStart w:id="339" w:name="_Toc264183788"/>
      <w:bookmarkStart w:id="340" w:name="_Toc486405034"/>
      <w:bookmarkStart w:id="341" w:name="_Toc30689"/>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概算</w:t>
      </w:r>
      <w:r>
        <w:rPr>
          <w:color w:val="000000" w:themeColor="text1"/>
          <w:highlight w:val="none"/>
          <w14:textFill>
            <w14:solidFill>
              <w14:schemeClr w14:val="tx1"/>
            </w14:solidFill>
          </w14:textFill>
        </w:rPr>
        <w:t>依据</w:t>
      </w:r>
      <w:bookmarkEnd w:id="336"/>
      <w:bookmarkEnd w:id="337"/>
      <w:bookmarkEnd w:id="338"/>
      <w:bookmarkEnd w:id="339"/>
      <w:bookmarkEnd w:id="340"/>
      <w:bookmarkEnd w:id="341"/>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.1.1根据建设方案并参照类似工程、有关文件、标准，结合本项目实际进行</w:t>
      </w:r>
      <w:r>
        <w:rPr>
          <w:rFonts w:hint="eastAsia"/>
          <w:color w:val="000000" w:themeColor="text1"/>
          <w:highlight w:val="none"/>
          <w:lang w:eastAsia="zh-CN"/>
          <w14:textFill>
            <w14:solidFill>
              <w14:schemeClr w14:val="tx1"/>
            </w14:solidFill>
          </w14:textFill>
        </w:rPr>
        <w:t>概算</w:t>
      </w:r>
      <w:r>
        <w:rPr>
          <w:rFonts w:hint="eastAsia"/>
          <w:color w:val="000000" w:themeColor="text1"/>
          <w:highlight w:val="none"/>
          <w14:textFill>
            <w14:solidFill>
              <w14:schemeClr w14:val="tx1"/>
            </w14:solidFill>
          </w14:textFill>
        </w:rPr>
        <w:t>。主要参见文件如下：</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1</w:t>
      </w:r>
      <w:r>
        <w:rPr>
          <w:rFonts w:hint="eastAsia" w:cs="宋体"/>
          <w:color w:val="000000" w:themeColor="text1"/>
          <w:szCs w:val="28"/>
          <w:lang w:val="zh-CN"/>
          <w14:textFill>
            <w14:solidFill>
              <w14:schemeClr w14:val="tx1"/>
            </w14:solidFill>
          </w14:textFill>
        </w:rPr>
        <w:t>）</w:t>
      </w:r>
      <w:r>
        <w:rPr>
          <w:rFonts w:hint="eastAsia"/>
          <w:color w:val="000000" w:themeColor="text1"/>
          <w:highlight w:val="none"/>
          <w:lang w:val="zh-CN"/>
          <w14:textFill>
            <w14:solidFill>
              <w14:schemeClr w14:val="tx1"/>
            </w14:solidFill>
          </w14:textFill>
        </w:rPr>
        <w:t>建筑工程采用《青海省房屋建筑与装饰工程计价定额》（2020）、《青海省通用安装工程计价定额》（2020）、《青海省建筑工程概算定额》（2018）、《青海省通用安装工程概算定额》（2018）和《青海省房屋修缮土建工程消耗量定额与基价》（</w:t>
      </w:r>
      <w:r>
        <w:rPr>
          <w:rFonts w:hint="eastAsia"/>
          <w:color w:val="000000" w:themeColor="text1"/>
          <w:highlight w:val="none"/>
          <w:lang w:val="en-US" w:eastAsia="zh-CN"/>
          <w14:textFill>
            <w14:solidFill>
              <w14:schemeClr w14:val="tx1"/>
            </w14:solidFill>
          </w14:textFill>
        </w:rPr>
        <w:t>2016</w:t>
      </w:r>
      <w:r>
        <w:rPr>
          <w:rFonts w:hint="eastAsia"/>
          <w:color w:val="000000" w:themeColor="text1"/>
          <w:highlight w:val="none"/>
          <w:lang w:val="zh-CN"/>
          <w14:textFill>
            <w14:solidFill>
              <w14:schemeClr w14:val="tx1"/>
            </w14:solidFill>
          </w14:textFill>
        </w:rPr>
        <w:t>）进行概算，并根据本地区类似工程投资情况概算。</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2</w:t>
      </w:r>
      <w:r>
        <w:rPr>
          <w:rFonts w:hint="eastAsia" w:cs="宋体"/>
          <w:color w:val="000000" w:themeColor="text1"/>
          <w:szCs w:val="28"/>
          <w:lang w:val="zh-CN"/>
          <w14:textFill>
            <w14:solidFill>
              <w14:schemeClr w14:val="tx1"/>
            </w14:solidFill>
          </w14:textFill>
        </w:rPr>
        <w:t>）</w:t>
      </w:r>
      <w:r>
        <w:rPr>
          <w:rFonts w:hint="eastAsia" w:ascii="仿宋" w:hAnsi="仿宋" w:eastAsia="仿宋" w:cs="宋体"/>
          <w:color w:val="000000" w:themeColor="text1"/>
          <w:szCs w:val="28"/>
          <w:lang w:val="zh-CN"/>
          <w14:textFill>
            <w14:solidFill>
              <w14:schemeClr w14:val="tx1"/>
            </w14:solidFill>
          </w14:textFill>
        </w:rPr>
        <w:t>人工、机械调整系数按囊谦县人工、机械调整系数执行。</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cs="宋体"/>
          <w:color w:val="000000" w:themeColor="text1"/>
          <w:szCs w:val="28"/>
          <w:lang w:val="zh-CN"/>
          <w14:textFill>
            <w14:solidFill>
              <w14:schemeClr w14:val="tx1"/>
            </w14:solidFill>
          </w14:textFill>
        </w:rPr>
        <w:t>（</w:t>
      </w:r>
      <w:r>
        <w:rPr>
          <w:rFonts w:hint="eastAsia" w:cs="宋体"/>
          <w:color w:val="000000" w:themeColor="text1"/>
          <w:szCs w:val="28"/>
          <w:lang w:val="en-US" w:eastAsia="zh-CN"/>
          <w14:textFill>
            <w14:solidFill>
              <w14:schemeClr w14:val="tx1"/>
            </w14:solidFill>
          </w14:textFill>
        </w:rPr>
        <w:t>3</w:t>
      </w:r>
      <w:r>
        <w:rPr>
          <w:rFonts w:hint="eastAsia" w:cs="宋体"/>
          <w:color w:val="000000" w:themeColor="text1"/>
          <w:szCs w:val="28"/>
          <w:lang w:val="zh-CN"/>
          <w14:textFill>
            <w14:solidFill>
              <w14:schemeClr w14:val="tx1"/>
            </w14:solidFill>
          </w14:textFill>
        </w:rPr>
        <w:t>）</w:t>
      </w:r>
      <w:r>
        <w:rPr>
          <w:rFonts w:hint="eastAsia" w:ascii="仿宋" w:hAnsi="仿宋" w:eastAsia="仿宋" w:cs="宋体"/>
          <w:color w:val="000000" w:themeColor="text1"/>
          <w:szCs w:val="28"/>
          <w:lang w:val="zh-CN"/>
          <w14:textFill>
            <w14:solidFill>
              <w14:schemeClr w14:val="tx1"/>
            </w14:solidFill>
          </w14:textFill>
        </w:rPr>
        <w:t>地方材料执行《青海工程造价管理信息》202</w:t>
      </w:r>
      <w:r>
        <w:rPr>
          <w:rFonts w:hint="eastAsia" w:ascii="仿宋" w:hAnsi="仿宋" w:eastAsia="仿宋" w:cs="宋体"/>
          <w:color w:val="000000" w:themeColor="text1"/>
          <w:szCs w:val="28"/>
          <w:lang w:val="en-US" w:eastAsia="zh-CN"/>
          <w14:textFill>
            <w14:solidFill>
              <w14:schemeClr w14:val="tx1"/>
            </w14:solidFill>
          </w14:textFill>
        </w:rPr>
        <w:t>1</w:t>
      </w:r>
      <w:r>
        <w:rPr>
          <w:rFonts w:hint="eastAsia" w:ascii="仿宋" w:hAnsi="仿宋" w:eastAsia="仿宋" w:cs="宋体"/>
          <w:color w:val="000000" w:themeColor="text1"/>
          <w:szCs w:val="28"/>
          <w:lang w:val="zh-CN"/>
          <w14:textFill>
            <w14:solidFill>
              <w14:schemeClr w14:val="tx1"/>
            </w14:solidFill>
          </w14:textFill>
        </w:rPr>
        <w:t>年第</w:t>
      </w:r>
      <w:r>
        <w:rPr>
          <w:rFonts w:hint="eastAsia" w:ascii="仿宋" w:hAnsi="仿宋" w:eastAsia="仿宋" w:cs="宋体"/>
          <w:color w:val="000000" w:themeColor="text1"/>
          <w:szCs w:val="28"/>
          <w:lang w:val="en-US" w:eastAsia="zh-CN"/>
          <w14:textFill>
            <w14:solidFill>
              <w14:schemeClr w14:val="tx1"/>
            </w14:solidFill>
          </w14:textFill>
        </w:rPr>
        <w:t>4</w:t>
      </w:r>
      <w:r>
        <w:rPr>
          <w:rFonts w:hint="eastAsia" w:ascii="仿宋" w:hAnsi="仿宋" w:eastAsia="仿宋" w:cs="宋体"/>
          <w:color w:val="000000" w:themeColor="text1"/>
          <w:szCs w:val="28"/>
          <w:lang w:val="zh-CN"/>
          <w14:textFill>
            <w14:solidFill>
              <w14:schemeClr w14:val="tx1"/>
            </w14:solidFill>
          </w14:textFill>
        </w:rPr>
        <w:t>期玉树地区地方材料指导价；其他材料价差执行《青海工程造价管理信息》西宁地区202</w:t>
      </w:r>
      <w:r>
        <w:rPr>
          <w:rFonts w:hint="eastAsia" w:ascii="仿宋" w:hAnsi="仿宋" w:eastAsia="仿宋" w:cs="宋体"/>
          <w:color w:val="000000" w:themeColor="text1"/>
          <w:szCs w:val="28"/>
          <w:lang w:val="en-US" w:eastAsia="zh-CN"/>
          <w14:textFill>
            <w14:solidFill>
              <w14:schemeClr w14:val="tx1"/>
            </w14:solidFill>
          </w14:textFill>
        </w:rPr>
        <w:t>1</w:t>
      </w:r>
      <w:r>
        <w:rPr>
          <w:rFonts w:hint="eastAsia" w:ascii="仿宋" w:hAnsi="仿宋" w:eastAsia="仿宋" w:cs="宋体"/>
          <w:color w:val="000000" w:themeColor="text1"/>
          <w:szCs w:val="28"/>
          <w:lang w:val="zh-CN"/>
          <w14:textFill>
            <w14:solidFill>
              <w14:schemeClr w14:val="tx1"/>
            </w14:solidFill>
          </w14:textFill>
        </w:rPr>
        <w:t>年第</w:t>
      </w:r>
      <w:r>
        <w:rPr>
          <w:rFonts w:hint="eastAsia" w:ascii="仿宋" w:hAnsi="仿宋" w:eastAsia="仿宋" w:cs="宋体"/>
          <w:color w:val="000000" w:themeColor="text1"/>
          <w:szCs w:val="28"/>
          <w:lang w:val="en-US" w:eastAsia="zh-CN"/>
          <w14:textFill>
            <w14:solidFill>
              <w14:schemeClr w14:val="tx1"/>
            </w14:solidFill>
          </w14:textFill>
        </w:rPr>
        <w:t>4</w:t>
      </w:r>
      <w:r>
        <w:rPr>
          <w:rFonts w:hint="eastAsia" w:ascii="仿宋" w:hAnsi="仿宋" w:eastAsia="仿宋" w:cs="宋体"/>
          <w:color w:val="000000" w:themeColor="text1"/>
          <w:szCs w:val="28"/>
          <w:lang w:val="zh-CN"/>
          <w14:textFill>
            <w14:solidFill>
              <w14:schemeClr w14:val="tx1"/>
            </w14:solidFill>
          </w14:textFill>
        </w:rPr>
        <w:t>期建设工程材料指导价。</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（4）青海省住房和城乡建设厅《关于重新调整青海省建设工程计价依据增值税税率通知》（青建工〔2019〕116号）。</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（5）青海省住房和城乡建设厅《关于调整青海省建设工程预算定额人工费单价的通知》（青建工〔2019〕434号）。</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（6）安全文明施工费按照《青海省住房和城乡建设厅关于调整建设工程安全文明施工费的通知》青建工〔2020〕255号执行。</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（7）青海省住房和城乡建设厅《关于调整2016年&lt;青海省建筑安装工程费用项目组成及计算规则&gt;工伤保险等费用的通知》（青建工〔2019〕361号）。</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（8）根据国家和青海省有关规定进行估列。</w:t>
      </w:r>
    </w:p>
    <w:p>
      <w:pPr>
        <w:spacing w:line="360" w:lineRule="auto"/>
        <w:ind w:firstLine="560" w:firstLineChars="200"/>
        <w:rPr>
          <w:rFonts w:hint="eastAsia" w:ascii="仿宋" w:hAnsi="仿宋" w:eastAsia="仿宋" w:cs="宋体"/>
          <w:color w:val="000000" w:themeColor="text1"/>
          <w:szCs w:val="28"/>
          <w:lang w:val="zh-CN"/>
          <w14:textFill>
            <w14:solidFill>
              <w14:schemeClr w14:val="tx1"/>
            </w14:solidFill>
          </w14:textFill>
        </w:rPr>
      </w:pPr>
      <w:r>
        <w:rPr>
          <w:rFonts w:hint="eastAsia" w:ascii="仿宋" w:hAnsi="仿宋" w:eastAsia="仿宋" w:cs="宋体"/>
          <w:color w:val="000000" w:themeColor="text1"/>
          <w:szCs w:val="28"/>
          <w:lang w:val="zh-CN"/>
          <w14:textFill>
            <w14:solidFill>
              <w14:schemeClr w14:val="tx1"/>
            </w14:solidFill>
          </w14:textFill>
        </w:rPr>
        <w:t>（9）设备购置费按市场询价</w:t>
      </w:r>
      <w:r>
        <w:rPr>
          <w:rFonts w:hint="eastAsia" w:cs="宋体"/>
          <w:color w:val="000000" w:themeColor="text1"/>
          <w:szCs w:val="28"/>
          <w:lang w:val="zh-CN"/>
          <w14:textFill>
            <w14:solidFill>
              <w14:schemeClr w14:val="tx1"/>
            </w14:solidFill>
          </w14:textFill>
        </w:rPr>
        <w:t>概算，并考虑杂项费</w:t>
      </w:r>
      <w:r>
        <w:rPr>
          <w:rFonts w:hint="eastAsia" w:ascii="仿宋" w:hAnsi="仿宋" w:eastAsia="仿宋" w:cs="宋体"/>
          <w:color w:val="000000" w:themeColor="text1"/>
          <w:szCs w:val="28"/>
          <w:lang w:val="zh-CN"/>
          <w14:textFill>
            <w14:solidFill>
              <w14:schemeClr w14:val="tx1"/>
            </w14:solidFill>
          </w14:textFill>
        </w:rPr>
        <w:t>。</w:t>
      </w:r>
    </w:p>
    <w:p>
      <w:pPr>
        <w:pStyle w:val="4"/>
        <w:ind w:firstLine="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.1.2工程其他费用，根据国家和地方对建设项目的有关政策和规定</w:t>
      </w:r>
      <w:r>
        <w:rPr>
          <w:rFonts w:hint="eastAsia"/>
          <w:color w:val="000000" w:themeColor="text1"/>
          <w:highlight w:val="none"/>
          <w:lang w:eastAsia="zh-CN"/>
          <w14:textFill>
            <w14:solidFill>
              <w14:schemeClr w14:val="tx1"/>
            </w14:solidFill>
          </w14:textFill>
        </w:rPr>
        <w:t>概算</w:t>
      </w:r>
      <w:r>
        <w:rPr>
          <w:rFonts w:hint="eastAsia"/>
          <w:color w:val="000000" w:themeColor="text1"/>
          <w:highlight w:val="none"/>
          <w14:textFill>
            <w14:solidFill>
              <w14:schemeClr w14:val="tx1"/>
            </w14:solidFill>
          </w14:textFill>
        </w:rPr>
        <w:t>：</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（1）项目建设管理费按照财建〔2016〕504号财政部关于印发《基本建设项目建设成本管理规定》的通知；</w:t>
      </w:r>
    </w:p>
    <w:p>
      <w:pPr>
        <w:ind w:firstLine="560"/>
        <w:rPr>
          <w:color w:val="000000" w:themeColor="text1"/>
          <w:highlight w:val="none"/>
          <w14:textFill>
            <w14:solidFill>
              <w14:schemeClr w14:val="tx1"/>
            </w14:solidFill>
          </w14:textFill>
        </w:rPr>
      </w:pPr>
      <w:r>
        <w:rPr>
          <w:rFonts w:hint="eastAsia"/>
          <w:color w:val="000000" w:themeColor="text1"/>
          <w:highlight w:val="none"/>
          <w:lang w:val="zh-CN"/>
          <w14:textFill>
            <w14:solidFill>
              <w14:schemeClr w14:val="tx1"/>
            </w14:solidFill>
          </w14:textFill>
        </w:rPr>
        <w:t>（2）根据国家发展改革委《关于进一步放开建设项目专业服务价格的通知》（发改价格〔2015〕299号），项目前期工作费、工程勘察设计费、工程监理费、招投标代理服务费按市场价列入；</w:t>
      </w:r>
    </w:p>
    <w:p>
      <w:pPr>
        <w:ind w:firstLine="56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（3）工程量清单编制费及招标控制价、工程结算审查费按照青海省建设工程造价管理协会关于转发《中国建设工程造价管理协会关于规范工程造价咨询服务收费的通知》的通知（青建价协〔2013〕08号文）计算。</w:t>
      </w:r>
    </w:p>
    <w:p>
      <w:pPr>
        <w:spacing w:line="360" w:lineRule="auto"/>
        <w:ind w:firstLine="600" w:firstLineChars="200"/>
        <w:outlineLvl w:val="2"/>
        <w:rPr>
          <w:rFonts w:hint="eastAsia" w:ascii="方正大标宋简体" w:hAnsi="方正大标宋简体" w:eastAsia="方正大标宋简体" w:cs="方正大标宋简体"/>
          <w:color w:val="000000" w:themeColor="text1"/>
          <w:sz w:val="30"/>
          <w:szCs w:val="30"/>
          <w14:textFill>
            <w14:solidFill>
              <w14:schemeClr w14:val="tx1"/>
            </w14:solidFill>
          </w14:textFill>
        </w:rPr>
      </w:pPr>
      <w:r>
        <w:rPr>
          <w:rFonts w:hint="eastAsia" w:ascii="方正大标宋简体" w:hAnsi="方正大标宋简体" w:eastAsia="方正大标宋简体" w:cs="方正大标宋简体"/>
          <w:color w:val="000000" w:themeColor="text1"/>
          <w:sz w:val="30"/>
          <w:szCs w:val="30"/>
          <w14:textFill>
            <w14:solidFill>
              <w14:schemeClr w14:val="tx1"/>
            </w14:solidFill>
          </w14:textFill>
        </w:rPr>
        <w:t>1</w:t>
      </w:r>
      <w:r>
        <w:rPr>
          <w:rFonts w:hint="eastAsia" w:ascii="方正大标宋简体" w:hAnsi="方正大标宋简体" w:eastAsia="方正大标宋简体" w:cs="方正大标宋简体"/>
          <w:color w:val="000000" w:themeColor="text1"/>
          <w:sz w:val="30"/>
          <w:szCs w:val="30"/>
          <w:lang w:val="en-US" w:eastAsia="zh-CN"/>
          <w14:textFill>
            <w14:solidFill>
              <w14:schemeClr w14:val="tx1"/>
            </w14:solidFill>
          </w14:textFill>
        </w:rPr>
        <w:t>3</w:t>
      </w:r>
      <w:r>
        <w:rPr>
          <w:rFonts w:hint="eastAsia" w:ascii="方正大标宋简体" w:hAnsi="方正大标宋简体" w:eastAsia="方正大标宋简体" w:cs="方正大标宋简体"/>
          <w:color w:val="000000" w:themeColor="text1"/>
          <w:sz w:val="30"/>
          <w:szCs w:val="30"/>
          <w14:textFill>
            <w14:solidFill>
              <w14:schemeClr w14:val="tx1"/>
            </w14:solidFill>
          </w14:textFill>
        </w:rPr>
        <w:t>.1.3预备费：按一、二类费用的</w:t>
      </w:r>
      <w:r>
        <w:rPr>
          <w:rFonts w:hint="eastAsia" w:ascii="方正大标宋简体" w:hAnsi="方正大标宋简体" w:eastAsia="方正大标宋简体" w:cs="方正大标宋简体"/>
          <w:color w:val="000000" w:themeColor="text1"/>
          <w:sz w:val="30"/>
          <w:szCs w:val="30"/>
          <w:lang w:val="en-US" w:eastAsia="zh-CN"/>
          <w14:textFill>
            <w14:solidFill>
              <w14:schemeClr w14:val="tx1"/>
            </w14:solidFill>
          </w14:textFill>
        </w:rPr>
        <w:t>5</w:t>
      </w:r>
      <w:r>
        <w:rPr>
          <w:rFonts w:hint="eastAsia" w:ascii="方正大标宋简体" w:hAnsi="方正大标宋简体" w:eastAsia="方正大标宋简体" w:cs="方正大标宋简体"/>
          <w:color w:val="000000" w:themeColor="text1"/>
          <w:sz w:val="30"/>
          <w:szCs w:val="30"/>
          <w14:textFill>
            <w14:solidFill>
              <w14:schemeClr w14:val="tx1"/>
            </w14:solidFill>
          </w14:textFill>
        </w:rPr>
        <w:t>%计。</w:t>
      </w:r>
    </w:p>
    <w:p>
      <w:pPr>
        <w:pStyle w:val="3"/>
        <w:spacing w:before="192" w:after="216"/>
        <w:rPr>
          <w:color w:val="000000" w:themeColor="text1"/>
          <w:highlight w:val="none"/>
          <w14:textFill>
            <w14:solidFill>
              <w14:schemeClr w14:val="tx1"/>
            </w14:solidFill>
          </w14:textFill>
        </w:rPr>
      </w:pPr>
      <w:bookmarkStart w:id="342" w:name="_Toc28972"/>
      <w:bookmarkStart w:id="343" w:name="_Toc388513325"/>
      <w:bookmarkStart w:id="344" w:name="_Toc486405035"/>
      <w:bookmarkStart w:id="345" w:name="_Toc264183789"/>
      <w:bookmarkStart w:id="346" w:name="_Toc234634954"/>
      <w:bookmarkStart w:id="347" w:name="_Toc17113"/>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概算</w:t>
      </w:r>
      <w:r>
        <w:rPr>
          <w:color w:val="000000" w:themeColor="text1"/>
          <w:highlight w:val="none"/>
          <w14:textFill>
            <w14:solidFill>
              <w14:schemeClr w14:val="tx1"/>
            </w14:solidFill>
          </w14:textFill>
        </w:rPr>
        <w:t>内容</w:t>
      </w:r>
      <w:bookmarkEnd w:id="342"/>
      <w:bookmarkEnd w:id="343"/>
      <w:bookmarkEnd w:id="344"/>
      <w:bookmarkEnd w:id="345"/>
      <w:bookmarkEnd w:id="346"/>
      <w:bookmarkEnd w:id="347"/>
    </w:p>
    <w:p>
      <w:pPr>
        <w:ind w:firstLine="560"/>
        <w:rPr>
          <w:color w:val="000000" w:themeColor="text1"/>
          <w:highlight w:val="none"/>
          <w:lang w:val="zh-CN"/>
          <w14:textFill>
            <w14:solidFill>
              <w14:schemeClr w14:val="tx1"/>
            </w14:solidFill>
          </w14:textFill>
        </w:rPr>
      </w:pPr>
      <w:bookmarkStart w:id="348" w:name="_Toc391648467"/>
      <w:bookmarkStart w:id="349" w:name="_Toc486405036"/>
      <w:bookmarkStart w:id="350" w:name="_Toc336506272"/>
      <w:bookmarkStart w:id="351" w:name="_Toc314216620"/>
      <w:bookmarkStart w:id="352" w:name="_Toc216707206"/>
      <w:bookmarkStart w:id="353" w:name="_Toc302552181"/>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改造</w:t>
      </w:r>
      <w:r>
        <w:rPr>
          <w:rFonts w:hint="eastAsia"/>
          <w:color w:val="000000" w:themeColor="text1"/>
          <w:highlight w:val="none"/>
          <w:lang w:val="zh-CN"/>
          <w14:textFill>
            <w14:solidFill>
              <w14:schemeClr w14:val="tx1"/>
            </w14:solidFill>
          </w14:textFill>
        </w:rPr>
        <w:t>生产加工车间、室外总图等工程费用。</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zh-CN"/>
          <w14:textFill>
            <w14:solidFill>
              <w14:schemeClr w14:val="tx1"/>
            </w14:solidFill>
          </w14:textFill>
        </w:rPr>
        <w:t>）生产设备购置费用。</w:t>
      </w:r>
    </w:p>
    <w:p>
      <w:pPr>
        <w:ind w:firstLine="56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w:t>
      </w:r>
      <w:r>
        <w:rPr>
          <w:rFonts w:hint="eastAsia"/>
          <w:color w:val="000000" w:themeColor="text1"/>
          <w:highlight w:val="none"/>
          <w14:textFill>
            <w14:solidFill>
              <w14:schemeClr w14:val="tx1"/>
            </w14:solidFill>
          </w14:textFill>
        </w:rPr>
        <w:t>3</w:t>
      </w:r>
      <w:r>
        <w:rPr>
          <w:rFonts w:hint="eastAsia"/>
          <w:color w:val="000000" w:themeColor="text1"/>
          <w:highlight w:val="none"/>
          <w:lang w:val="zh-CN"/>
          <w14:textFill>
            <w14:solidFill>
              <w14:schemeClr w14:val="tx1"/>
            </w14:solidFill>
          </w14:textFill>
        </w:rPr>
        <w:t>）</w:t>
      </w:r>
      <w:r>
        <w:rPr>
          <w:color w:val="000000" w:themeColor="text1"/>
          <w:highlight w:val="none"/>
          <w:lang w:val="zh-CN"/>
          <w14:textFill>
            <w14:solidFill>
              <w14:schemeClr w14:val="tx1"/>
            </w14:solidFill>
          </w14:textFill>
        </w:rPr>
        <w:t>按规定计取的工程建设其</w:t>
      </w:r>
      <w:r>
        <w:rPr>
          <w:rFonts w:hint="eastAsia"/>
          <w:color w:val="000000" w:themeColor="text1"/>
          <w:highlight w:val="none"/>
          <w:lang w:val="zh-CN"/>
          <w14:textFill>
            <w14:solidFill>
              <w14:schemeClr w14:val="tx1"/>
            </w14:solidFill>
          </w14:textFill>
        </w:rPr>
        <w:t>他</w:t>
      </w:r>
      <w:r>
        <w:rPr>
          <w:color w:val="000000" w:themeColor="text1"/>
          <w:highlight w:val="none"/>
          <w:lang w:val="zh-CN"/>
          <w14:textFill>
            <w14:solidFill>
              <w14:schemeClr w14:val="tx1"/>
            </w14:solidFill>
          </w14:textFill>
        </w:rPr>
        <w:t>费用及预备费。</w:t>
      </w:r>
    </w:p>
    <w:p>
      <w:pPr>
        <w:pStyle w:val="3"/>
        <w:spacing w:before="192" w:after="216"/>
        <w:rPr>
          <w:rFonts w:hint="eastAsia" w:eastAsia="方正大标宋简体"/>
          <w:color w:val="000000" w:themeColor="text1"/>
          <w:highlight w:val="none"/>
          <w:lang w:eastAsia="zh-CN"/>
          <w14:textFill>
            <w14:solidFill>
              <w14:schemeClr w14:val="tx1"/>
            </w14:solidFill>
          </w14:textFill>
        </w:rPr>
      </w:pPr>
      <w:bookmarkStart w:id="354" w:name="_Toc3075"/>
      <w:bookmarkStart w:id="355" w:name="_Toc22788"/>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.3投资</w:t>
      </w:r>
      <w:bookmarkEnd w:id="348"/>
      <w:bookmarkEnd w:id="349"/>
      <w:bookmarkEnd w:id="350"/>
      <w:bookmarkEnd w:id="351"/>
      <w:bookmarkEnd w:id="352"/>
      <w:bookmarkEnd w:id="353"/>
      <w:bookmarkEnd w:id="354"/>
      <w:r>
        <w:rPr>
          <w:rFonts w:hint="eastAsia"/>
          <w:color w:val="000000" w:themeColor="text1"/>
          <w:highlight w:val="none"/>
          <w:lang w:eastAsia="zh-CN"/>
          <w14:textFill>
            <w14:solidFill>
              <w14:schemeClr w14:val="tx1"/>
            </w14:solidFill>
          </w14:textFill>
        </w:rPr>
        <w:t>概算及资金来源</w:t>
      </w:r>
      <w:bookmarkEnd w:id="355"/>
    </w:p>
    <w:p>
      <w:pPr>
        <w:pStyle w:val="4"/>
        <w:ind w:firstLine="6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13.3.1总投资</w:t>
      </w:r>
    </w:p>
    <w:p>
      <w:pPr>
        <w:bidi w:val="0"/>
        <w:rPr>
          <w:rFonts w:hint="eastAsia"/>
          <w:color w:val="000000" w:themeColor="text1"/>
          <w:lang w:val="zh-CN" w:eastAsia="zh-CN"/>
          <w14:textFill>
            <w14:solidFill>
              <w14:schemeClr w14:val="tx1"/>
            </w14:solidFill>
          </w14:textFill>
        </w:rPr>
      </w:pPr>
      <w:r>
        <w:rPr>
          <w:rFonts w:hint="eastAsia"/>
          <w:color w:val="000000" w:themeColor="text1"/>
          <w:lang w:val="zh-CN" w:eastAsia="zh-CN"/>
          <w14:textFill>
            <w14:solidFill>
              <w14:schemeClr w14:val="tx1"/>
            </w14:solidFill>
          </w14:textFill>
        </w:rPr>
        <w:t>本项目总投资</w:t>
      </w:r>
      <w:r>
        <w:rPr>
          <w:rFonts w:hint="eastAsia"/>
          <w:color w:val="000000" w:themeColor="text1"/>
          <w:lang w:val="en-US" w:eastAsia="zh-CN"/>
          <w14:textFill>
            <w14:solidFill>
              <w14:schemeClr w14:val="tx1"/>
            </w14:solidFill>
          </w14:textFill>
        </w:rPr>
        <w:t>1892.20万元，其中：</w:t>
      </w:r>
      <w:r>
        <w:rPr>
          <w:rFonts w:hint="eastAsia"/>
          <w:color w:val="000000" w:themeColor="text1"/>
          <w:lang w:val="zh-CN" w:eastAsia="zh-CN"/>
          <w14:textFill>
            <w14:solidFill>
              <w14:schemeClr w14:val="tx1"/>
            </w14:solidFill>
          </w14:textFill>
        </w:rPr>
        <w:t>建筑工程费用</w:t>
      </w:r>
      <w:r>
        <w:rPr>
          <w:rFonts w:hint="eastAsia"/>
          <w:color w:val="000000" w:themeColor="text1"/>
          <w:lang w:val="en-US" w:eastAsia="zh-CN"/>
          <w14:textFill>
            <w14:solidFill>
              <w14:schemeClr w14:val="tx1"/>
            </w14:solidFill>
          </w14:textFill>
        </w:rPr>
        <w:t>233.39</w:t>
      </w:r>
      <w:r>
        <w:rPr>
          <w:rFonts w:hint="eastAsia"/>
          <w:color w:val="000000" w:themeColor="text1"/>
          <w:lang w:val="zh-CN" w:eastAsia="zh-CN"/>
          <w14:textFill>
            <w14:solidFill>
              <w14:schemeClr w14:val="tx1"/>
            </w14:solidFill>
          </w14:textFill>
        </w:rPr>
        <w:t>万元，设备购置费</w:t>
      </w:r>
      <w:r>
        <w:rPr>
          <w:rFonts w:hint="eastAsia"/>
          <w:color w:val="000000" w:themeColor="text1"/>
          <w:lang w:val="en-US" w:eastAsia="zh-CN"/>
          <w14:textFill>
            <w14:solidFill>
              <w14:schemeClr w14:val="tx1"/>
            </w14:solidFill>
          </w14:textFill>
        </w:rPr>
        <w:t>1455.45万元</w:t>
      </w:r>
      <w:r>
        <w:rPr>
          <w:rFonts w:hint="eastAsia"/>
          <w:color w:val="000000" w:themeColor="text1"/>
          <w:lang w:val="zh-CN" w:eastAsia="zh-CN"/>
          <w14:textFill>
            <w14:solidFill>
              <w14:schemeClr w14:val="tx1"/>
            </w14:solidFill>
          </w14:textFill>
        </w:rPr>
        <w:t>，工程建设其他费用</w:t>
      </w:r>
      <w:r>
        <w:rPr>
          <w:rFonts w:hint="eastAsia"/>
          <w:color w:val="000000" w:themeColor="text1"/>
          <w:lang w:val="en-US" w:eastAsia="zh-CN"/>
          <w14:textFill>
            <w14:solidFill>
              <w14:schemeClr w14:val="tx1"/>
            </w14:solidFill>
          </w14:textFill>
        </w:rPr>
        <w:t>113.38</w:t>
      </w:r>
      <w:r>
        <w:rPr>
          <w:rFonts w:hint="eastAsia"/>
          <w:color w:val="000000" w:themeColor="text1"/>
          <w:lang w:val="zh-CN" w:eastAsia="zh-CN"/>
          <w14:textFill>
            <w14:solidFill>
              <w14:schemeClr w14:val="tx1"/>
            </w14:solidFill>
          </w14:textFill>
        </w:rPr>
        <w:t>万元，预备费</w:t>
      </w:r>
      <w:r>
        <w:rPr>
          <w:rFonts w:hint="eastAsia"/>
          <w:color w:val="000000" w:themeColor="text1"/>
          <w:lang w:val="en-US" w:eastAsia="zh-CN"/>
          <w14:textFill>
            <w14:solidFill>
              <w14:schemeClr w14:val="tx1"/>
            </w14:solidFill>
          </w14:textFill>
        </w:rPr>
        <w:t>89.98</w:t>
      </w:r>
      <w:r>
        <w:rPr>
          <w:rFonts w:hint="eastAsia"/>
          <w:color w:val="000000" w:themeColor="text1"/>
          <w:lang w:val="zh-CN" w:eastAsia="zh-CN"/>
          <w14:textFill>
            <w14:solidFill>
              <w14:schemeClr w14:val="tx1"/>
            </w14:solidFill>
          </w14:textFill>
        </w:rPr>
        <w:t>万元。铺底流动资金由</w:t>
      </w:r>
      <w:r>
        <w:rPr>
          <w:rFonts w:hint="eastAsia"/>
          <w:color w:val="000000" w:themeColor="text1"/>
          <w:lang w:val="zh-CN"/>
          <w14:textFill>
            <w14:solidFill>
              <w14:schemeClr w14:val="tx1"/>
            </w14:solidFill>
          </w14:textFill>
        </w:rPr>
        <w:t>入驻企业自行解决。</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详见投资概算表1</w:t>
      </w:r>
      <w:r>
        <w:rPr>
          <w:rFonts w:hint="eastAsia"/>
          <w:color w:val="000000" w:themeColor="text1"/>
          <w:lang w:val="en-US" w:eastAsia="zh-CN"/>
          <w14:textFill>
            <w14:solidFill>
              <w14:schemeClr w14:val="tx1"/>
            </w14:solidFill>
          </w14:textFill>
        </w:rPr>
        <w:t>4</w:t>
      </w:r>
      <w:r>
        <w:rPr>
          <w:rFonts w:hint="eastAsia"/>
          <w:color w:val="000000" w:themeColor="text1"/>
          <w:lang w:val="zh-CN"/>
          <w14:textFill>
            <w14:solidFill>
              <w14:schemeClr w14:val="tx1"/>
            </w14:solidFill>
          </w14:textFill>
        </w:rPr>
        <w:t>-1。</w:t>
      </w:r>
    </w:p>
    <w:p>
      <w:pPr>
        <w:pStyle w:val="4"/>
        <w:ind w:firstLine="600"/>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13.3.2</w:t>
      </w:r>
      <w:r>
        <w:rPr>
          <w:rFonts w:hint="eastAsia"/>
          <w:color w:val="000000" w:themeColor="text1"/>
          <w:highlight w:val="none"/>
          <w:lang w:val="zh-CN" w:eastAsia="zh-CN"/>
          <w14:textFill>
            <w14:solidFill>
              <w14:schemeClr w14:val="tx1"/>
            </w14:solidFill>
          </w14:textFill>
        </w:rPr>
        <w:t>资金来源</w:t>
      </w:r>
    </w:p>
    <w:p>
      <w:pPr>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本项目总投资</w:t>
      </w:r>
      <w:r>
        <w:rPr>
          <w:rFonts w:hint="eastAsia"/>
          <w:color w:val="000000" w:themeColor="text1"/>
          <w:lang w:val="en-US" w:eastAsia="zh-CN"/>
          <w14:textFill>
            <w14:solidFill>
              <w14:schemeClr w14:val="tx1"/>
            </w14:solidFill>
          </w14:textFill>
        </w:rPr>
        <w:t>1892.20</w:t>
      </w:r>
      <w:r>
        <w:rPr>
          <w:rFonts w:hint="eastAsia"/>
          <w:color w:val="000000" w:themeColor="text1"/>
          <w:lang w:val="zh-CN"/>
          <w14:textFill>
            <w14:solidFill>
              <w14:schemeClr w14:val="tx1"/>
            </w14:solidFill>
          </w14:textFill>
        </w:rPr>
        <w:t>万元，</w:t>
      </w:r>
      <w:r>
        <w:rPr>
          <w:rFonts w:hint="eastAsia"/>
          <w:color w:val="000000" w:themeColor="text1"/>
          <w:lang w:val="en-US" w:eastAsia="zh-CN"/>
          <w14:textFill>
            <w14:solidFill>
              <w14:schemeClr w14:val="tx1"/>
            </w14:solidFill>
          </w14:textFill>
        </w:rPr>
        <w:t>拟申请</w:t>
      </w:r>
      <w:r>
        <w:rPr>
          <w:rFonts w:hint="eastAsia"/>
          <w:color w:val="000000" w:themeColor="text1"/>
          <w:lang w:val="zh-CN"/>
          <w14:textFill>
            <w14:solidFill>
              <w14:schemeClr w14:val="tx1"/>
            </w14:solidFill>
          </w14:textFill>
        </w:rPr>
        <w:t>财政衔接推进乡村振兴补助资金。</w:t>
      </w:r>
    </w:p>
    <w:p>
      <w:pPr>
        <w:ind w:left="0" w:leftChars="0" w:firstLine="0" w:firstLineChars="0"/>
        <w:rPr>
          <w:rFonts w:hint="eastAsia"/>
          <w:color w:val="000000" w:themeColor="text1"/>
          <w:highlight w:val="none"/>
          <w:lang w:val="zh-CN"/>
          <w14:textFill>
            <w14:solidFill>
              <w14:schemeClr w14:val="tx1"/>
            </w14:solidFill>
          </w14:textFill>
        </w:rPr>
      </w:pPr>
    </w:p>
    <w:p>
      <w:pPr>
        <w:spacing w:line="360" w:lineRule="auto"/>
        <w:ind w:firstLine="560" w:firstLineChars="200"/>
        <w:rPr>
          <w:rFonts w:hint="eastAsia"/>
          <w:color w:val="000000" w:themeColor="text1"/>
          <w:highlight w:val="none"/>
          <w:lang w:val="zh-CN"/>
          <w14:textFill>
            <w14:solidFill>
              <w14:schemeClr w14:val="tx1"/>
            </w14:solidFill>
          </w14:textFill>
        </w:rPr>
        <w:sectPr>
          <w:footerReference r:id="rId8" w:type="default"/>
          <w:pgSz w:w="11850" w:h="16783"/>
          <w:pgMar w:top="1440" w:right="1797" w:bottom="1440" w:left="1559" w:header="851" w:footer="992" w:gutter="0"/>
          <w:pgBorders w:offsetFrom="page">
            <w:top w:val="none" w:sz="0" w:space="0"/>
            <w:left w:val="none" w:sz="0" w:space="0"/>
            <w:bottom w:val="none" w:sz="0" w:space="0"/>
            <w:right w:val="none" w:sz="0" w:space="0"/>
          </w:pgBorders>
          <w:pgNumType w:fmt="decimal"/>
          <w:cols w:space="0" w:num="1"/>
          <w:rtlGutter w:val="0"/>
          <w:docGrid w:type="lines" w:linePitch="326" w:charSpace="0"/>
        </w:sectPr>
      </w:pPr>
    </w:p>
    <w:p>
      <w:pPr>
        <w:pStyle w:val="39"/>
        <w:spacing w:after="0"/>
        <w:ind w:firstLine="0" w:firstLineChars="0"/>
        <w:jc w:val="center"/>
        <w:rPr>
          <w:rFonts w:hint="eastAsia"/>
          <w:b/>
          <w:bCs/>
          <w:color w:val="000000" w:themeColor="text1"/>
          <w:sz w:val="24"/>
          <w14:textFill>
            <w14:solidFill>
              <w14:schemeClr w14:val="tx1"/>
            </w14:solidFill>
          </w14:textFill>
        </w:rPr>
      </w:pPr>
      <w:r>
        <w:rPr>
          <w:rFonts w:hint="eastAsia"/>
          <w:b/>
          <w:bCs/>
          <w:color w:val="000000" w:themeColor="text1"/>
          <w:sz w:val="24"/>
          <w:lang w:eastAsia="zh-CN"/>
          <w14:textFill>
            <w14:solidFill>
              <w14:schemeClr w14:val="tx1"/>
            </w14:solidFill>
          </w14:textFill>
        </w:rPr>
        <w:t>项目</w:t>
      </w:r>
      <w:r>
        <w:rPr>
          <w:rFonts w:hint="eastAsia"/>
          <w:b/>
          <w:bCs/>
          <w:color w:val="000000" w:themeColor="text1"/>
          <w:sz w:val="24"/>
          <w:lang w:val="en-US" w:eastAsia="zh-CN"/>
          <w14:textFill>
            <w14:solidFill>
              <w14:schemeClr w14:val="tx1"/>
            </w14:solidFill>
          </w14:textFill>
        </w:rPr>
        <w:t>概</w:t>
      </w:r>
      <w:r>
        <w:rPr>
          <w:rFonts w:hint="eastAsia"/>
          <w:b/>
          <w:bCs/>
          <w:color w:val="000000" w:themeColor="text1"/>
          <w:sz w:val="24"/>
          <w:lang w:eastAsia="zh-CN"/>
          <w14:textFill>
            <w14:solidFill>
              <w14:schemeClr w14:val="tx1"/>
            </w14:solidFill>
          </w14:textFill>
        </w:rPr>
        <w:t>算</w:t>
      </w:r>
      <w:r>
        <w:rPr>
          <w:rFonts w:hint="eastAsia"/>
          <w:b/>
          <w:bCs/>
          <w:color w:val="000000" w:themeColor="text1"/>
          <w:sz w:val="24"/>
          <w14:textFill>
            <w14:solidFill>
              <w14:schemeClr w14:val="tx1"/>
            </w14:solidFill>
          </w14:textFill>
        </w:rPr>
        <w:t>表</w:t>
      </w:r>
    </w:p>
    <w:p>
      <w:pPr>
        <w:spacing w:line="240" w:lineRule="auto"/>
        <w:ind w:firstLine="0" w:firstLineChars="0"/>
        <w:jc w:val="left"/>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表1</w:t>
      </w:r>
      <w:r>
        <w:rPr>
          <w:rFonts w:hint="eastAsia"/>
          <w:b/>
          <w:color w:val="000000" w:themeColor="text1"/>
          <w:sz w:val="21"/>
          <w:szCs w:val="21"/>
          <w:lang w:val="en-US" w:eastAsia="zh-CN"/>
          <w14:textFill>
            <w14:solidFill>
              <w14:schemeClr w14:val="tx1"/>
            </w14:solidFill>
          </w14:textFill>
        </w:rPr>
        <w:t>3</w:t>
      </w:r>
      <w:r>
        <w:rPr>
          <w:rFonts w:hint="eastAsia"/>
          <w:b/>
          <w:color w:val="000000" w:themeColor="text1"/>
          <w:sz w:val="21"/>
          <w:szCs w:val="21"/>
          <w14:textFill>
            <w14:solidFill>
              <w14:schemeClr w14:val="tx1"/>
            </w14:solidFill>
          </w14:textFill>
        </w:rPr>
        <w:t>-1</w:t>
      </w:r>
    </w:p>
    <w:tbl>
      <w:tblPr>
        <w:tblStyle w:val="40"/>
        <w:tblW w:w="4999" w:type="pct"/>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39"/>
        <w:gridCol w:w="2256"/>
        <w:gridCol w:w="942"/>
        <w:gridCol w:w="1063"/>
        <w:gridCol w:w="700"/>
        <w:gridCol w:w="942"/>
        <w:gridCol w:w="1063"/>
        <w:gridCol w:w="457"/>
        <w:gridCol w:w="1056"/>
        <w:gridCol w:w="1063"/>
        <w:gridCol w:w="3636"/>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29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序号</w:t>
            </w:r>
          </w:p>
        </w:tc>
        <w:tc>
          <w:tcPr>
            <w:tcW w:w="880"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工程项目名称</w:t>
            </w:r>
          </w:p>
        </w:tc>
        <w:tc>
          <w:tcPr>
            <w:tcW w:w="1763" w:type="pct"/>
            <w:gridSpan w:val="5"/>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投资概算价值（万元）</w:t>
            </w:r>
          </w:p>
        </w:tc>
        <w:tc>
          <w:tcPr>
            <w:tcW w:w="958"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技术指标</w:t>
            </w:r>
          </w:p>
        </w:tc>
        <w:tc>
          <w:tcPr>
            <w:tcW w:w="10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备   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298"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880"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建筑工</w:t>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程费用</w:t>
            </w: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设备购</w:t>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置费用</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安装费用</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其他</w:t>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费用</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合计</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单位</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数量</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指标</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第一部分工程费用</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233.39 </w:t>
            </w: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1688.84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（一）</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车间装修费用</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200.44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200.44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土建、装饰工程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83.01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83.01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798.14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1040</w:t>
            </w:r>
          </w:p>
        </w:tc>
        <w:tc>
          <w:tcPr>
            <w:tcW w:w="10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参观走廊、门窗工程、室内地面、墙面、吊顶等</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88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给排水工程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3.00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3.00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消火栓工程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5.99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5.99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48</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火灾报警系统</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17.72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17.72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142</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暖通工程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3.74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3.74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30</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电气工程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14.98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14.98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1248.14</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洁净装饰工程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72.00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72.00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450</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1600</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总图工程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32.95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32.95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工艺管沟</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19.58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19.58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m</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105</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1865.00 </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1.0m*1.0m钢筋混凝土</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2</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给排水工程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8.62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8.62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给水管</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0.68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0.68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170</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DN50 PE管，含土方</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2.2</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污水管</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1.95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1.95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75</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260</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DN200 HDPE双壁波纹管，含土方</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2.4</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水表井</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2.84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2.84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座</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14200</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钢筋混凝土2150*1100，含阀门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2.5</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污水井</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3.15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3.15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座</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10500</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钢筋混凝土 φ1000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3</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电气工程</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4.75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4.75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供电线路</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3.12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3.12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m</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260</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120</w:t>
            </w: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人孔井</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1.63 </w:t>
            </w: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1.63 </w:t>
            </w:r>
          </w:p>
        </w:tc>
        <w:tc>
          <w:tcPr>
            <w:tcW w:w="1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座</w:t>
            </w:r>
          </w:p>
        </w:tc>
        <w:tc>
          <w:tcPr>
            <w:tcW w:w="36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16300</w:t>
            </w:r>
          </w:p>
        </w:tc>
        <w:tc>
          <w:tcPr>
            <w:tcW w:w="10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钢筋混凝土2600×2100×2900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（三）</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设备购置</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1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原料处理系统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35.00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35.00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350000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糖化系统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152.80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152.80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1528000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发酵系统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801.60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801.60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8016000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酵母扩培系统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23.20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23.20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232000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工艺水处理系统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45.25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45.25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452500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空压系统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6.80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6.80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68000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能源系统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78.50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78.50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785000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灌装单元</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214.30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214.30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2143000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化验系统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8.00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8.00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80000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污水处理系统</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40.00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40.00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400000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智能化管理</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50.00 </w:t>
            </w: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50.00 </w:t>
            </w:r>
          </w:p>
        </w:tc>
        <w:tc>
          <w:tcPr>
            <w:tcW w:w="198"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套</w:t>
            </w:r>
          </w:p>
        </w:tc>
        <w:tc>
          <w:tcPr>
            <w:tcW w:w="361"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500000</w:t>
            </w: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第一部分费用合计</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233.39 </w:t>
            </w: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1688.84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二</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工程建设其他费用</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实施方案编制费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9.38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9.38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2</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工程设计费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10.32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10.32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3</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建设单位管理费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30.33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30.33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4</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工程建设监理费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7.86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7.86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5</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环境影响评价费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6</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招标代理服务费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14.11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14.11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7</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职工培训费和提前进场费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2.00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8</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工程结算审查费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10.83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10.83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9</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招标控制价及清单编制费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8.61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8.61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10</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场地准备及临时设施费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3.38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3.38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0.20%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11</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联合试运转费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14.55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 xml:space="preserve">14.55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第二部分费用合计</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113.38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113.38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第一、二部分费用合计</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233.39 </w:t>
            </w: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113.38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1802.22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三</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预备费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89.98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89.98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其中：基本预备费</w:t>
            </w:r>
          </w:p>
        </w:tc>
        <w:tc>
          <w:tcPr>
            <w:tcW w:w="38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89.98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89.98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5%</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9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四</w:t>
            </w:r>
          </w:p>
        </w:tc>
        <w:tc>
          <w:tcPr>
            <w:tcW w:w="88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建设投资</w:t>
            </w:r>
          </w:p>
        </w:tc>
        <w:tc>
          <w:tcPr>
            <w:tcW w:w="389"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233.39 </w:t>
            </w:r>
          </w:p>
        </w:tc>
        <w:tc>
          <w:tcPr>
            <w:tcW w:w="366"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1455.45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0.00 </w:t>
            </w:r>
          </w:p>
        </w:tc>
        <w:tc>
          <w:tcPr>
            <w:tcW w:w="31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203.36 </w:t>
            </w:r>
          </w:p>
        </w:tc>
        <w:tc>
          <w:tcPr>
            <w:tcW w:w="38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themeColor="text1"/>
                <w:sz w:val="24"/>
                <w:szCs w:val="24"/>
                <w:u w:val="none"/>
                <w14:textFill>
                  <w14:solidFill>
                    <w14:schemeClr w14:val="tx1"/>
                  </w14:solidFill>
                </w14:textFill>
              </w:rPr>
            </w:pPr>
            <w:r>
              <w:rPr>
                <w:rFonts w:hint="eastAsia" w:ascii="仿宋" w:hAnsi="仿宋" w:eastAsia="仿宋" w:cs="仿宋"/>
                <w:b/>
                <w:bCs/>
                <w:i w:val="0"/>
                <w:iCs w:val="0"/>
                <w:color w:val="000000" w:themeColor="text1"/>
                <w:kern w:val="0"/>
                <w:sz w:val="24"/>
                <w:szCs w:val="24"/>
                <w:u w:val="none"/>
                <w:lang w:val="en-US" w:eastAsia="zh-CN" w:bidi="ar"/>
                <w14:textFill>
                  <w14:solidFill>
                    <w14:schemeClr w14:val="tx1"/>
                  </w14:solidFill>
                </w14:textFill>
              </w:rPr>
              <w:t xml:space="preserve">1892.20 </w:t>
            </w:r>
          </w:p>
        </w:tc>
        <w:tc>
          <w:tcPr>
            <w:tcW w:w="1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61"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3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c>
          <w:tcPr>
            <w:tcW w:w="1098" w:type="pc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b/>
                <w:bCs/>
                <w:i w:val="0"/>
                <w:iCs w:val="0"/>
                <w:color w:val="000000" w:themeColor="text1"/>
                <w:sz w:val="24"/>
                <w:szCs w:val="24"/>
                <w:u w:val="none"/>
                <w14:textFill>
                  <w14:solidFill>
                    <w14:schemeClr w14:val="tx1"/>
                  </w14:solidFill>
                </w14:textFill>
              </w:rPr>
            </w:pPr>
          </w:p>
        </w:tc>
      </w:tr>
    </w:tbl>
    <w:p>
      <w:pPr>
        <w:bidi w:val="0"/>
        <w:ind w:left="0" w:leftChars="0" w:firstLine="0" w:firstLineChars="0"/>
        <w:rPr>
          <w:rFonts w:hint="eastAsia"/>
          <w:color w:val="000000" w:themeColor="text1"/>
          <w14:textFill>
            <w14:solidFill>
              <w14:schemeClr w14:val="tx1"/>
            </w14:solidFill>
          </w14:textFill>
        </w:rPr>
      </w:pPr>
    </w:p>
    <w:p>
      <w:pPr>
        <w:bidi w:val="0"/>
        <w:ind w:left="0" w:leftChars="0" w:firstLine="0" w:firstLineChars="0"/>
        <w:rPr>
          <w:rFonts w:hint="eastAsia"/>
          <w:color w:val="000000" w:themeColor="text1"/>
          <w14:textFill>
            <w14:solidFill>
              <w14:schemeClr w14:val="tx1"/>
            </w14:solidFill>
          </w14:textFill>
        </w:rPr>
      </w:pPr>
    </w:p>
    <w:p>
      <w:pPr>
        <w:bidi w:val="0"/>
        <w:ind w:left="0" w:leftChars="0" w:firstLine="0" w:firstLineChars="0"/>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3"/>
        <w:rPr>
          <w:rFonts w:hint="eastAsia"/>
          <w:color w:val="000000" w:themeColor="text1"/>
          <w:lang w:val="zh-CN"/>
          <w14:textFill>
            <w14:solidFill>
              <w14:schemeClr w14:val="tx1"/>
            </w14:solidFill>
          </w14:textFill>
        </w:rPr>
        <w:sectPr>
          <w:pgSz w:w="16783" w:h="11850" w:orient="landscape"/>
          <w:pgMar w:top="1559" w:right="1440" w:bottom="1797" w:left="1440" w:header="851" w:footer="992" w:gutter="0"/>
          <w:pgBorders w:offsetFrom="page">
            <w:top w:val="none" w:sz="0" w:space="0"/>
            <w:left w:val="none" w:sz="0" w:space="0"/>
            <w:bottom w:val="none" w:sz="0" w:space="0"/>
            <w:right w:val="none" w:sz="0" w:space="0"/>
          </w:pgBorders>
          <w:pgNumType w:fmt="decimal"/>
          <w:cols w:space="0" w:num="1"/>
          <w:rtlGutter w:val="0"/>
          <w:docGrid w:type="lines" w:linePitch="326" w:charSpace="0"/>
        </w:sectPr>
      </w:pPr>
      <w:bookmarkStart w:id="356" w:name="_Toc4312"/>
    </w:p>
    <w:p>
      <w:pPr>
        <w:pStyle w:val="2"/>
        <w:rPr>
          <w:color w:val="000000" w:themeColor="text1"/>
          <w:highlight w:val="none"/>
          <w14:textFill>
            <w14:solidFill>
              <w14:schemeClr w14:val="tx1"/>
            </w14:solidFill>
          </w14:textFill>
        </w:rPr>
      </w:pPr>
      <w:bookmarkStart w:id="357" w:name="_Toc4989"/>
      <w:r>
        <w:rPr>
          <w:color w:val="000000" w:themeColor="text1"/>
          <w:highlight w:val="none"/>
          <w14:textFill>
            <w14:solidFill>
              <w14:schemeClr w14:val="tx1"/>
            </w14:solidFill>
          </w14:textFill>
        </w:rPr>
        <w:t>第1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章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效益</w:t>
      </w:r>
      <w:bookmarkEnd w:id="356"/>
      <w:r>
        <w:rPr>
          <w:rFonts w:hint="eastAsia"/>
          <w:color w:val="000000" w:themeColor="text1"/>
          <w:highlight w:val="none"/>
          <w14:textFill>
            <w14:solidFill>
              <w14:schemeClr w14:val="tx1"/>
            </w14:solidFill>
          </w14:textFill>
        </w:rPr>
        <w:t>分析</w:t>
      </w:r>
      <w:bookmarkEnd w:id="357"/>
    </w:p>
    <w:p>
      <w:pPr>
        <w:pStyle w:val="3"/>
        <w:spacing w:before="192" w:beforeAutospacing="1" w:after="216" w:afterAutospacing="1"/>
        <w:rPr>
          <w:rFonts w:hAnsi="黑体"/>
          <w:color w:val="000000" w:themeColor="text1"/>
          <w:szCs w:val="20"/>
          <w:highlight w:val="none"/>
          <w14:textFill>
            <w14:solidFill>
              <w14:schemeClr w14:val="tx1"/>
            </w14:solidFill>
          </w14:textFill>
        </w:rPr>
      </w:pPr>
      <w:bookmarkStart w:id="358" w:name="_Toc10626"/>
      <w:bookmarkStart w:id="359" w:name="_Toc1691"/>
      <w:bookmarkStart w:id="360" w:name="_Toc10896"/>
      <w:bookmarkStart w:id="361" w:name="_Toc193466096"/>
      <w:bookmarkStart w:id="362" w:name="_Toc160505702"/>
      <w:bookmarkStart w:id="363" w:name="_Toc210958309"/>
      <w:bookmarkStart w:id="364" w:name="_Toc209405628"/>
      <w:bookmarkStart w:id="365" w:name="_Toc209405790"/>
      <w:bookmarkStart w:id="366" w:name="_Toc213510093"/>
      <w:bookmarkStart w:id="367" w:name="_Toc251685293"/>
      <w:bookmarkStart w:id="368" w:name="_Toc207267810"/>
      <w:bookmarkStart w:id="369" w:name="_Toc205632174"/>
      <w:bookmarkStart w:id="370" w:name="_Toc244940247"/>
      <w:bookmarkStart w:id="371" w:name="_Toc214260107"/>
      <w:bookmarkStart w:id="372" w:name="_Toc149637864"/>
      <w:bookmarkStart w:id="373" w:name="_Toc209382390"/>
      <w:bookmarkStart w:id="374" w:name="_Toc150309213"/>
      <w:bookmarkStart w:id="375" w:name="_Toc210967021"/>
      <w:bookmarkStart w:id="376" w:name="_Toc244078001"/>
      <w:r>
        <w:rPr>
          <w:rFonts w:hint="eastAsia" w:hAnsi="黑体"/>
          <w:color w:val="000000" w:themeColor="text1"/>
          <w:szCs w:val="20"/>
          <w:highlight w:val="none"/>
          <w14:textFill>
            <w14:solidFill>
              <w14:schemeClr w14:val="tx1"/>
            </w14:solidFill>
          </w14:textFill>
        </w:rPr>
        <w:t>1</w:t>
      </w:r>
      <w:r>
        <w:rPr>
          <w:rFonts w:hint="eastAsia" w:hAnsi="黑体"/>
          <w:color w:val="000000" w:themeColor="text1"/>
          <w:szCs w:val="20"/>
          <w:highlight w:val="none"/>
          <w:lang w:val="en-US" w:eastAsia="zh-CN"/>
          <w14:textFill>
            <w14:solidFill>
              <w14:schemeClr w14:val="tx1"/>
            </w14:solidFill>
          </w14:textFill>
        </w:rPr>
        <w:t>4</w:t>
      </w:r>
      <w:r>
        <w:rPr>
          <w:rFonts w:hint="eastAsia" w:hAnsi="黑体"/>
          <w:color w:val="000000" w:themeColor="text1"/>
          <w:szCs w:val="20"/>
          <w:highlight w:val="none"/>
          <w14:textFill>
            <w14:solidFill>
              <w14:schemeClr w14:val="tx1"/>
            </w14:solidFill>
          </w14:textFill>
        </w:rPr>
        <w:t>.</w:t>
      </w:r>
      <w:r>
        <w:rPr>
          <w:rFonts w:hint="eastAsia" w:hAnsi="黑体"/>
          <w:color w:val="000000" w:themeColor="text1"/>
          <w:szCs w:val="20"/>
          <w:highlight w:val="none"/>
          <w:lang w:val="en-US" w:eastAsia="zh-CN"/>
          <w14:textFill>
            <w14:solidFill>
              <w14:schemeClr w14:val="tx1"/>
            </w14:solidFill>
          </w14:textFill>
        </w:rPr>
        <w:t>1</w:t>
      </w:r>
      <w:r>
        <w:rPr>
          <w:rFonts w:hint="eastAsia" w:hAnsi="黑体"/>
          <w:color w:val="000000" w:themeColor="text1"/>
          <w:szCs w:val="20"/>
          <w:highlight w:val="none"/>
          <w14:textFill>
            <w14:solidFill>
              <w14:schemeClr w14:val="tx1"/>
            </w14:solidFill>
          </w14:textFill>
        </w:rPr>
        <w:t>社会效益</w:t>
      </w:r>
      <w:bookmarkEnd w:id="358"/>
      <w:bookmarkEnd w:id="359"/>
    </w:p>
    <w:p>
      <w:pPr>
        <w:spacing w:line="360" w:lineRule="auto"/>
        <w:ind w:firstLine="560" w:firstLineChars="200"/>
        <w:rPr>
          <w:rFonts w:hint="eastAsia" w:eastAsia="仿宋"/>
          <w:color w:val="000000" w:themeColor="text1"/>
          <w:sz w:val="28"/>
          <w:szCs w:val="28"/>
          <w:lang w:val="zh-CN" w:eastAsia="zh-CN"/>
          <w14:textFill>
            <w14:solidFill>
              <w14:schemeClr w14:val="tx1"/>
            </w14:solidFill>
          </w14:textFill>
        </w:rPr>
      </w:pPr>
      <w:r>
        <w:rPr>
          <w:rFonts w:hint="eastAsia" w:eastAsia="仿宋"/>
          <w:color w:val="000000" w:themeColor="text1"/>
          <w:sz w:val="28"/>
          <w:szCs w:val="28"/>
          <w:lang w:val="zh-CN"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w:t>
      </w:r>
      <w:r>
        <w:rPr>
          <w:rFonts w:hint="eastAsia" w:eastAsia="仿宋"/>
          <w:color w:val="000000" w:themeColor="text1"/>
          <w:sz w:val="28"/>
          <w:szCs w:val="28"/>
          <w:lang w:val="zh-CN" w:eastAsia="zh-CN"/>
          <w14:textFill>
            <w14:solidFill>
              <w14:schemeClr w14:val="tx1"/>
            </w14:solidFill>
          </w14:textFill>
        </w:rPr>
        <w:t>）项目建设将资源优势转化为经济优势，</w:t>
      </w:r>
      <w:r>
        <w:rPr>
          <w:rFonts w:hint="eastAsia"/>
          <w:color w:val="000000" w:themeColor="text1"/>
          <w:highlight w:val="none"/>
          <w:lang w:eastAsia="zh-CN"/>
          <w14:textFill>
            <w14:solidFill>
              <w14:schemeClr w14:val="tx1"/>
            </w14:solidFill>
          </w14:textFill>
        </w:rPr>
        <w:t>增加青稞产品附加值，</w:t>
      </w:r>
      <w:r>
        <w:rPr>
          <w:rFonts w:hint="eastAsia" w:eastAsia="仿宋"/>
          <w:color w:val="000000" w:themeColor="text1"/>
          <w:sz w:val="28"/>
          <w:szCs w:val="28"/>
          <w:lang w:val="zh-CN" w:eastAsia="zh-CN"/>
          <w14:textFill>
            <w14:solidFill>
              <w14:schemeClr w14:val="tx1"/>
            </w14:solidFill>
          </w14:textFill>
        </w:rPr>
        <w:t>加快青稞产业规模化、规范化、产业化经营，是促进囊谦县产业振兴、巩固脱贫攻坚成果的有力举措，将进一步提高囊谦县农牧业综合生产能力</w:t>
      </w:r>
      <w:r>
        <w:rPr>
          <w:rFonts w:hint="eastAsia"/>
          <w:color w:val="000000" w:themeColor="text1"/>
          <w:sz w:val="28"/>
          <w:szCs w:val="28"/>
          <w:lang w:val="zh-CN" w:eastAsia="zh-CN"/>
          <w14:textFill>
            <w14:solidFill>
              <w14:schemeClr w14:val="tx1"/>
            </w14:solidFill>
          </w14:textFill>
        </w:rPr>
        <w:t>。</w:t>
      </w:r>
    </w:p>
    <w:p>
      <w:pPr>
        <w:spacing w:line="360" w:lineRule="auto"/>
        <w:ind w:firstLine="560" w:firstLineChars="200"/>
        <w:rPr>
          <w:rFonts w:hint="eastAsia" w:eastAsia="仿宋"/>
          <w:color w:val="000000" w:themeColor="text1"/>
          <w:sz w:val="28"/>
          <w:szCs w:val="28"/>
          <w:lang w:val="zh-CN" w:eastAsia="zh-CN"/>
          <w14:textFill>
            <w14:solidFill>
              <w14:schemeClr w14:val="tx1"/>
            </w14:solidFill>
          </w14:textFill>
        </w:rPr>
      </w:pPr>
      <w:r>
        <w:rPr>
          <w:rFonts w:hint="eastAsia" w:eastAsia="仿宋"/>
          <w:color w:val="000000" w:themeColor="text1"/>
          <w:sz w:val="28"/>
          <w:szCs w:val="28"/>
          <w:lang w:val="zh-CN"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2</w:t>
      </w:r>
      <w:r>
        <w:rPr>
          <w:rFonts w:hint="eastAsia" w:eastAsia="仿宋"/>
          <w:color w:val="000000" w:themeColor="text1"/>
          <w:sz w:val="28"/>
          <w:szCs w:val="28"/>
          <w:lang w:val="zh-CN"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本</w:t>
      </w:r>
      <w:r>
        <w:rPr>
          <w:rFonts w:hint="eastAsia" w:eastAsia="仿宋"/>
          <w:color w:val="000000" w:themeColor="text1"/>
          <w:sz w:val="28"/>
          <w:szCs w:val="28"/>
          <w:lang w:val="zh-CN" w:eastAsia="zh-CN"/>
          <w14:textFill>
            <w14:solidFill>
              <w14:schemeClr w14:val="tx1"/>
            </w14:solidFill>
          </w14:textFill>
        </w:rPr>
        <w:t>项目积极推进“企业+农户+市场”的产业化经营模式，形成黑青稞种植、收购、运输、加工、销售等为一体的产业链，引导农民种植优良青稞农作物，形成农业效益增长、农民增收长效机制。</w:t>
      </w:r>
    </w:p>
    <w:p>
      <w:pPr>
        <w:spacing w:line="360" w:lineRule="auto"/>
        <w:ind w:firstLine="560" w:firstLineChars="200"/>
        <w:rPr>
          <w:rFonts w:hint="eastAsia" w:eastAsia="仿宋"/>
          <w:color w:val="000000" w:themeColor="text1"/>
          <w:sz w:val="28"/>
          <w:szCs w:val="28"/>
          <w:lang w:val="zh-CN" w:eastAsia="zh-CN"/>
          <w14:textFill>
            <w14:solidFill>
              <w14:schemeClr w14:val="tx1"/>
            </w14:solidFill>
          </w14:textFill>
        </w:rPr>
      </w:pPr>
      <w:r>
        <w:rPr>
          <w:rFonts w:hint="eastAsia" w:eastAsia="仿宋"/>
          <w:color w:val="000000" w:themeColor="text1"/>
          <w:sz w:val="28"/>
          <w:szCs w:val="28"/>
          <w:lang w:val="zh-CN"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3</w:t>
      </w:r>
      <w:r>
        <w:rPr>
          <w:rFonts w:hint="eastAsia" w:eastAsia="仿宋"/>
          <w:color w:val="000000" w:themeColor="text1"/>
          <w:sz w:val="28"/>
          <w:szCs w:val="28"/>
          <w:lang w:val="zh-CN" w:eastAsia="zh-CN"/>
          <w14:textFill>
            <w14:solidFill>
              <w14:schemeClr w14:val="tx1"/>
            </w14:solidFill>
          </w14:textFill>
        </w:rPr>
        <w:t>）项目建成后，</w:t>
      </w:r>
      <w:r>
        <w:rPr>
          <w:rFonts w:hint="eastAsia"/>
          <w:color w:val="000000" w:themeColor="text1"/>
          <w:sz w:val="28"/>
          <w:szCs w:val="28"/>
          <w:lang w:val="en-US" w:eastAsia="zh-CN"/>
          <w14:textFill>
            <w14:solidFill>
              <w14:schemeClr w14:val="tx1"/>
            </w14:solidFill>
          </w14:textFill>
        </w:rPr>
        <w:t>将提供就业岗位，</w:t>
      </w:r>
      <w:r>
        <w:rPr>
          <w:rFonts w:hint="eastAsia" w:eastAsia="仿宋"/>
          <w:color w:val="000000" w:themeColor="text1"/>
          <w:sz w:val="28"/>
          <w:szCs w:val="28"/>
          <w:lang w:val="zh-CN" w:eastAsia="zh-CN"/>
          <w14:textFill>
            <w14:solidFill>
              <w14:schemeClr w14:val="tx1"/>
            </w14:solidFill>
          </w14:textFill>
        </w:rPr>
        <w:t>减轻了社会再就业的压力，有利于社会的安定团结，增加居民经济收入，提高生活水平，</w:t>
      </w:r>
      <w:r>
        <w:rPr>
          <w:rFonts w:hint="eastAsia"/>
          <w:color w:val="000000" w:themeColor="text1"/>
          <w:sz w:val="28"/>
          <w:szCs w:val="28"/>
          <w:lang w:val="en-US" w:eastAsia="zh-CN"/>
          <w14:textFill>
            <w14:solidFill>
              <w14:schemeClr w14:val="tx1"/>
            </w14:solidFill>
          </w14:textFill>
        </w:rPr>
        <w:t>构建</w:t>
      </w:r>
      <w:r>
        <w:rPr>
          <w:rFonts w:hint="eastAsia" w:eastAsia="仿宋"/>
          <w:color w:val="000000" w:themeColor="text1"/>
          <w:sz w:val="28"/>
          <w:szCs w:val="28"/>
          <w:lang w:val="zh-CN" w:eastAsia="zh-CN"/>
          <w14:textFill>
            <w14:solidFill>
              <w14:schemeClr w14:val="tx1"/>
            </w14:solidFill>
          </w14:textFill>
        </w:rPr>
        <w:t>和谐社会起到了积极的作用。</w:t>
      </w:r>
    </w:p>
    <w:p>
      <w:pPr>
        <w:pStyle w:val="3"/>
        <w:spacing w:before="192" w:beforeAutospacing="1" w:after="216" w:afterAutospacing="1"/>
        <w:rPr>
          <w:rFonts w:hAnsi="黑体"/>
          <w:color w:val="000000" w:themeColor="text1"/>
          <w:szCs w:val="20"/>
          <w:highlight w:val="none"/>
          <w14:textFill>
            <w14:solidFill>
              <w14:schemeClr w14:val="tx1"/>
            </w14:solidFill>
          </w14:textFill>
        </w:rPr>
      </w:pPr>
      <w:bookmarkStart w:id="377" w:name="_Toc14676"/>
      <w:r>
        <w:rPr>
          <w:rFonts w:hint="eastAsia" w:hAnsi="黑体"/>
          <w:color w:val="000000" w:themeColor="text1"/>
          <w:szCs w:val="20"/>
          <w:highlight w:val="none"/>
          <w14:textFill>
            <w14:solidFill>
              <w14:schemeClr w14:val="tx1"/>
            </w14:solidFill>
          </w14:textFill>
        </w:rPr>
        <w:t>1</w:t>
      </w:r>
      <w:r>
        <w:rPr>
          <w:rFonts w:hint="eastAsia" w:hAnsi="黑体"/>
          <w:color w:val="000000" w:themeColor="text1"/>
          <w:szCs w:val="20"/>
          <w:highlight w:val="none"/>
          <w:lang w:val="en-US" w:eastAsia="zh-CN"/>
          <w14:textFill>
            <w14:solidFill>
              <w14:schemeClr w14:val="tx1"/>
            </w14:solidFill>
          </w14:textFill>
        </w:rPr>
        <w:t>4</w:t>
      </w:r>
      <w:r>
        <w:rPr>
          <w:rFonts w:hint="eastAsia" w:hAnsi="黑体"/>
          <w:color w:val="000000" w:themeColor="text1"/>
          <w:szCs w:val="20"/>
          <w:highlight w:val="none"/>
          <w14:textFill>
            <w14:solidFill>
              <w14:schemeClr w14:val="tx1"/>
            </w14:solidFill>
          </w14:textFill>
        </w:rPr>
        <w:t>.</w:t>
      </w:r>
      <w:r>
        <w:rPr>
          <w:rFonts w:hint="eastAsia" w:hAnsi="黑体"/>
          <w:color w:val="000000" w:themeColor="text1"/>
          <w:szCs w:val="20"/>
          <w:highlight w:val="none"/>
          <w:lang w:val="en-US" w:eastAsia="zh-CN"/>
          <w14:textFill>
            <w14:solidFill>
              <w14:schemeClr w14:val="tx1"/>
            </w14:solidFill>
          </w14:textFill>
        </w:rPr>
        <w:t>2</w:t>
      </w:r>
      <w:r>
        <w:rPr>
          <w:rFonts w:hint="eastAsia" w:hAnsi="黑体"/>
          <w:color w:val="000000" w:themeColor="text1"/>
          <w:szCs w:val="20"/>
          <w:highlight w:val="none"/>
          <w14:textFill>
            <w14:solidFill>
              <w14:schemeClr w14:val="tx1"/>
            </w14:solidFill>
          </w14:textFill>
        </w:rPr>
        <w:t>经济效益</w:t>
      </w:r>
      <w:bookmarkEnd w:id="360"/>
      <w:bookmarkEnd w:id="377"/>
    </w:p>
    <w:p>
      <w:pPr>
        <w:bidi w:val="0"/>
        <w:rPr>
          <w:rFonts w:hint="default"/>
          <w:color w:val="0000FF"/>
          <w:highlight w:val="none"/>
          <w:lang w:val="en-US" w:eastAsia="zh-CN"/>
        </w:rPr>
      </w:pPr>
      <w:r>
        <w:rPr>
          <w:rFonts w:hint="eastAsia"/>
          <w:color w:val="0000FF"/>
          <w:highlight w:val="none"/>
          <w:lang w:val="en-US" w:eastAsia="zh-CN"/>
        </w:rPr>
        <w:t>本项目将采用以下运营模式：（1）</w:t>
      </w:r>
      <w:r>
        <w:rPr>
          <w:rFonts w:hint="eastAsia"/>
          <w:color w:val="0000FF"/>
          <w:highlight w:val="none"/>
        </w:rPr>
        <w:t>通过“政府+</w:t>
      </w:r>
      <w:r>
        <w:rPr>
          <w:rFonts w:hint="eastAsia"/>
          <w:color w:val="0000FF"/>
          <w:highlight w:val="none"/>
          <w:lang w:val="en-US" w:eastAsia="zh-CN"/>
        </w:rPr>
        <w:t>企业合作</w:t>
      </w:r>
      <w:r>
        <w:rPr>
          <w:rFonts w:hint="eastAsia"/>
          <w:color w:val="0000FF"/>
          <w:highlight w:val="none"/>
        </w:rPr>
        <w:t>”</w:t>
      </w:r>
      <w:r>
        <w:rPr>
          <w:rFonts w:hint="eastAsia"/>
          <w:color w:val="0000FF"/>
          <w:highlight w:val="none"/>
          <w:lang w:eastAsia="zh-CN"/>
        </w:rPr>
        <w:t>（</w:t>
      </w:r>
      <w:r>
        <w:rPr>
          <w:rFonts w:hint="eastAsia"/>
          <w:color w:val="0000FF"/>
          <w:highlight w:val="none"/>
          <w:lang w:val="en-US" w:eastAsia="zh-CN"/>
        </w:rPr>
        <w:t>2</w:t>
      </w:r>
      <w:r>
        <w:rPr>
          <w:rFonts w:hint="eastAsia"/>
          <w:color w:val="0000FF"/>
          <w:highlight w:val="none"/>
          <w:lang w:eastAsia="zh-CN"/>
        </w:rPr>
        <w:t>）</w:t>
      </w:r>
      <w:r>
        <w:rPr>
          <w:rFonts w:hint="eastAsia"/>
          <w:color w:val="0000FF"/>
          <w:highlight w:val="none"/>
          <w:lang w:val="en-US" w:eastAsia="zh-CN"/>
        </w:rPr>
        <w:t>通过囊谦县政府会议选择有资质的企业进行运营，或者以竞标的方式择优选择第三方运营</w:t>
      </w:r>
      <w:r>
        <w:rPr>
          <w:rFonts w:hint="eastAsia"/>
          <w:color w:val="0000FF"/>
          <w:highlight w:val="none"/>
        </w:rPr>
        <w:t>的经营模式，促进</w:t>
      </w:r>
      <w:r>
        <w:rPr>
          <w:rFonts w:hint="eastAsia"/>
          <w:color w:val="0000FF"/>
          <w:highlight w:val="none"/>
          <w:lang w:val="en-US" w:eastAsia="zh-CN"/>
        </w:rPr>
        <w:t>产业</w:t>
      </w:r>
      <w:r>
        <w:rPr>
          <w:rFonts w:hint="eastAsia"/>
          <w:color w:val="0000FF"/>
          <w:highlight w:val="none"/>
        </w:rPr>
        <w:t>的融合发展</w:t>
      </w:r>
      <w:r>
        <w:rPr>
          <w:rFonts w:hint="eastAsia"/>
          <w:color w:val="0000FF"/>
          <w:highlight w:val="none"/>
          <w:lang w:eastAsia="zh-CN"/>
        </w:rPr>
        <w:t>。</w:t>
      </w:r>
      <w:r>
        <w:rPr>
          <w:rFonts w:hint="eastAsia"/>
          <w:color w:val="0000FF"/>
          <w:highlight w:val="none"/>
          <w:lang w:val="en-US" w:eastAsia="zh-CN"/>
        </w:rPr>
        <w:t>经济效益按照两种经营模式进行分析。</w:t>
      </w:r>
    </w:p>
    <w:p>
      <w:pPr>
        <w:pStyle w:val="4"/>
        <w:bidi w:val="0"/>
        <w:rPr>
          <w:rFonts w:hint="eastAsia"/>
          <w:lang w:val="en-US" w:eastAsia="zh-CN"/>
        </w:rPr>
      </w:pPr>
      <w:r>
        <w:rPr>
          <w:rFonts w:hint="eastAsia"/>
          <w:lang w:val="en-US" w:eastAsia="zh-CN"/>
        </w:rPr>
        <w:t>14.2.1</w:t>
      </w:r>
      <w:r>
        <w:rPr>
          <w:rFonts w:hint="eastAsia"/>
        </w:rPr>
        <w:t>“政府+</w:t>
      </w:r>
      <w:r>
        <w:rPr>
          <w:rFonts w:hint="eastAsia"/>
          <w:lang w:val="en-US" w:eastAsia="zh-CN"/>
        </w:rPr>
        <w:t>企业合作</w:t>
      </w:r>
      <w:r>
        <w:rPr>
          <w:rFonts w:hint="eastAsia"/>
        </w:rPr>
        <w:t>”</w:t>
      </w:r>
      <w:r>
        <w:rPr>
          <w:rFonts w:hint="eastAsia"/>
          <w:lang w:val="en-US" w:eastAsia="zh-CN"/>
        </w:rPr>
        <w:t>模式</w:t>
      </w:r>
    </w:p>
    <w:p>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）经营收入</w:t>
      </w:r>
    </w:p>
    <w:p>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本项目建成后将有</w:t>
      </w:r>
      <w:r>
        <w:rPr>
          <w:rFonts w:hint="eastAsia"/>
          <w:color w:val="000000" w:themeColor="text1"/>
          <w:highlight w:val="none"/>
          <w:lang w:val="en-US" w:eastAsia="zh-CN"/>
          <w14:textFill>
            <w14:solidFill>
              <w14:schemeClr w14:val="tx1"/>
            </w14:solidFill>
          </w14:textFill>
        </w:rPr>
        <w:t>1条</w:t>
      </w:r>
      <w:r>
        <w:rPr>
          <w:rFonts w:hint="eastAsia"/>
          <w:color w:val="000000" w:themeColor="text1"/>
          <w:highlight w:val="none"/>
          <w:lang w:eastAsia="zh-CN"/>
          <w14:textFill>
            <w14:solidFill>
              <w14:schemeClr w14:val="tx1"/>
            </w14:solidFill>
          </w14:textFill>
        </w:rPr>
        <w:t>黑青稞啤酒生产线，生产两种产品分别为：</w:t>
      </w:r>
      <w:r>
        <w:rPr>
          <w:rFonts w:hint="eastAsia"/>
          <w:color w:val="000000" w:themeColor="text1"/>
          <w:highlight w:val="none"/>
          <w:lang w:val="en-US" w:eastAsia="zh-CN"/>
          <w14:textFill>
            <w14:solidFill>
              <w14:schemeClr w14:val="tx1"/>
            </w14:solidFill>
          </w14:textFill>
        </w:rPr>
        <w:t>黑青稞12°P拉格啤酒和黑青稞啤酒（13.5°P黑啤），将</w:t>
      </w:r>
      <w:r>
        <w:rPr>
          <w:rFonts w:hint="eastAsia"/>
          <w:color w:val="000000" w:themeColor="text1"/>
          <w:highlight w:val="none"/>
          <w:lang w:eastAsia="zh-CN"/>
          <w14:textFill>
            <w14:solidFill>
              <w14:schemeClr w14:val="tx1"/>
            </w14:solidFill>
          </w14:textFill>
        </w:rPr>
        <w:t>会产生一定的收入，其中：</w:t>
      </w:r>
      <w:r>
        <w:rPr>
          <w:rFonts w:hint="eastAsia"/>
          <w:color w:val="000000" w:themeColor="text1"/>
          <w:highlight w:val="none"/>
          <w:lang w:val="en-US" w:eastAsia="zh-CN"/>
          <w14:textFill>
            <w14:solidFill>
              <w14:schemeClr w14:val="tx1"/>
            </w14:solidFill>
          </w14:textFill>
        </w:rPr>
        <w:t>黑青稞12°P拉格啤酒，一箱24罐，每罐330ml，每箱售价70元，共生产374297箱，收入为3368.67万元；黑青稞啤酒（13.5°P黑啤）一箱24罐，每罐330ml，每箱售价90元，共生产249530箱，收入为2245.77万元，两种产品共计收入4865.85万元。</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经营收入</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eastAsia="仿宋"/>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zh-CN" w:eastAsia="zh-CN"/>
          <w14:textFill>
            <w14:solidFill>
              <w14:schemeClr w14:val="tx1"/>
            </w14:solidFill>
          </w14:textFill>
        </w:rPr>
        <w:t>表</w:t>
      </w:r>
      <w:r>
        <w:rPr>
          <w:rFonts w:hint="eastAsia"/>
          <w:b/>
          <w:bCs/>
          <w:color w:val="000000" w:themeColor="text1"/>
          <w:sz w:val="21"/>
          <w:szCs w:val="21"/>
          <w:lang w:val="en-US" w:eastAsia="zh-CN"/>
          <w14:textFill>
            <w14:solidFill>
              <w14:schemeClr w14:val="tx1"/>
            </w14:solidFill>
          </w14:textFill>
        </w:rPr>
        <w:t>14-1</w:t>
      </w:r>
    </w:p>
    <w:tbl>
      <w:tblPr>
        <w:tblStyle w:val="40"/>
        <w:tblW w:w="5050" w:type="pct"/>
        <w:tblInd w:w="0" w:type="dxa"/>
        <w:shd w:val="clear" w:color="auto" w:fill="auto"/>
        <w:tblLayout w:type="fixed"/>
        <w:tblCellMar>
          <w:top w:w="0" w:type="dxa"/>
          <w:left w:w="0" w:type="dxa"/>
          <w:bottom w:w="0" w:type="dxa"/>
          <w:right w:w="0" w:type="dxa"/>
        </w:tblCellMar>
      </w:tblPr>
      <w:tblGrid>
        <w:gridCol w:w="783"/>
        <w:gridCol w:w="1930"/>
        <w:gridCol w:w="1431"/>
        <w:gridCol w:w="1605"/>
        <w:gridCol w:w="1528"/>
        <w:gridCol w:w="1332"/>
      </w:tblGrid>
      <w:tr>
        <w:tblPrEx>
          <w:shd w:val="clear" w:color="auto" w:fill="auto"/>
          <w:tblCellMar>
            <w:top w:w="0" w:type="dxa"/>
            <w:left w:w="0" w:type="dxa"/>
            <w:bottom w:w="0" w:type="dxa"/>
            <w:right w:w="0" w:type="dxa"/>
          </w:tblCellMar>
        </w:tblPrEx>
        <w:trPr>
          <w:trHeight w:val="609" w:hRule="exact"/>
        </w:trPr>
        <w:tc>
          <w:tcPr>
            <w:tcW w:w="455" w:type="pct"/>
            <w:tcBorders>
              <w:top w:val="double" w:color="000000" w:sz="4" w:space="0"/>
              <w:left w:val="doub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序号</w:t>
            </w:r>
          </w:p>
        </w:tc>
        <w:tc>
          <w:tcPr>
            <w:tcW w:w="1120"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产品名称</w:t>
            </w:r>
          </w:p>
        </w:tc>
        <w:tc>
          <w:tcPr>
            <w:tcW w:w="831"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数量（箱）</w:t>
            </w:r>
          </w:p>
        </w:tc>
        <w:tc>
          <w:tcPr>
            <w:tcW w:w="932"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单价（箱/元）</w:t>
            </w:r>
          </w:p>
        </w:tc>
        <w:tc>
          <w:tcPr>
            <w:tcW w:w="887" w:type="pct"/>
            <w:tcBorders>
              <w:top w:val="doub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收入（万元）</w:t>
            </w:r>
          </w:p>
        </w:tc>
        <w:tc>
          <w:tcPr>
            <w:tcW w:w="773" w:type="pct"/>
            <w:tcBorders>
              <w:top w:val="double" w:color="000000" w:sz="4" w:space="0"/>
              <w:left w:val="single" w:color="000000" w:sz="4" w:space="0"/>
              <w:bottom w:val="sing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备注</w:t>
            </w:r>
          </w:p>
        </w:tc>
      </w:tr>
      <w:tr>
        <w:tblPrEx>
          <w:tblCellMar>
            <w:top w:w="0" w:type="dxa"/>
            <w:left w:w="0" w:type="dxa"/>
            <w:bottom w:w="0" w:type="dxa"/>
            <w:right w:w="0" w:type="dxa"/>
          </w:tblCellMar>
        </w:tblPrEx>
        <w:trPr>
          <w:trHeight w:val="594" w:hRule="exact"/>
        </w:trPr>
        <w:tc>
          <w:tcPr>
            <w:tcW w:w="455" w:type="pct"/>
            <w:tcBorders>
              <w:top w:val="single" w:color="000000" w:sz="4" w:space="0"/>
              <w:left w:val="doub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w:t>
            </w:r>
          </w:p>
        </w:tc>
        <w:tc>
          <w:tcPr>
            <w:tcW w:w="11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黑青稞12°P拉格啤酒</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374297</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70</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仿宋"/>
                <w:color w:val="000000" w:themeColor="text1"/>
                <w:sz w:val="24"/>
                <w:highlight w:val="none"/>
                <w:lang w:val="en-US" w:eastAsia="zh-CN"/>
                <w14:textFill>
                  <w14:solidFill>
                    <w14:schemeClr w14:val="tx1"/>
                  </w14:solidFill>
                </w14:textFill>
              </w:rPr>
            </w:pPr>
            <w:r>
              <w:rPr>
                <w:rFonts w:hint="eastAsia" w:cs="仿宋"/>
                <w:i w:val="0"/>
                <w:iCs w:val="0"/>
                <w:color w:val="000000" w:themeColor="text1"/>
                <w:kern w:val="0"/>
                <w:sz w:val="24"/>
                <w:szCs w:val="24"/>
                <w:u w:val="none"/>
                <w:lang w:val="en-US" w:eastAsia="zh-CN" w:bidi="ar"/>
                <w14:textFill>
                  <w14:solidFill>
                    <w14:schemeClr w14:val="tx1"/>
                  </w14:solidFill>
                </w14:textFill>
              </w:rPr>
              <w:t>2620.08</w:t>
            </w:r>
          </w:p>
        </w:tc>
        <w:tc>
          <w:tcPr>
            <w:tcW w:w="773" w:type="pct"/>
            <w:tcBorders>
              <w:top w:val="single" w:color="000000" w:sz="4" w:space="0"/>
              <w:left w:val="single" w:color="000000" w:sz="4" w:space="0"/>
              <w:bottom w:val="sing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p>
        </w:tc>
      </w:tr>
      <w:tr>
        <w:tblPrEx>
          <w:tblCellMar>
            <w:top w:w="0" w:type="dxa"/>
            <w:left w:w="0" w:type="dxa"/>
            <w:bottom w:w="0" w:type="dxa"/>
            <w:right w:w="0" w:type="dxa"/>
          </w:tblCellMar>
        </w:tblPrEx>
        <w:trPr>
          <w:trHeight w:val="659" w:hRule="exact"/>
        </w:trPr>
        <w:tc>
          <w:tcPr>
            <w:tcW w:w="455" w:type="pct"/>
            <w:tcBorders>
              <w:top w:val="single" w:color="000000" w:sz="4" w:space="0"/>
              <w:left w:val="doub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p>
        </w:tc>
        <w:tc>
          <w:tcPr>
            <w:tcW w:w="11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黑青稞啤酒（13.5°P黑啤）</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249530</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仿宋"/>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90</w:t>
            </w:r>
          </w:p>
        </w:tc>
        <w:tc>
          <w:tcPr>
            <w:tcW w:w="88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仿宋"/>
                <w:color w:val="000000" w:themeColor="text1"/>
                <w:sz w:val="24"/>
                <w:highlight w:val="none"/>
                <w:lang w:val="en-US" w:eastAsia="zh-CN"/>
                <w14:textFill>
                  <w14:solidFill>
                    <w14:schemeClr w14:val="tx1"/>
                  </w14:solidFill>
                </w14:textFill>
              </w:rPr>
            </w:pPr>
            <w:r>
              <w:rPr>
                <w:rFonts w:hint="eastAsia" w:cs="仿宋"/>
                <w:i w:val="0"/>
                <w:iCs w:val="0"/>
                <w:color w:val="000000" w:themeColor="text1"/>
                <w:kern w:val="0"/>
                <w:sz w:val="24"/>
                <w:szCs w:val="24"/>
                <w:u w:val="none"/>
                <w:lang w:val="en-US" w:eastAsia="zh-CN" w:bidi="ar"/>
                <w14:textFill>
                  <w14:solidFill>
                    <w14:schemeClr w14:val="tx1"/>
                  </w14:solidFill>
                </w14:textFill>
              </w:rPr>
              <w:t>2245.77</w:t>
            </w:r>
          </w:p>
        </w:tc>
        <w:tc>
          <w:tcPr>
            <w:tcW w:w="773" w:type="pct"/>
            <w:tcBorders>
              <w:top w:val="single" w:color="000000" w:sz="4" w:space="0"/>
              <w:left w:val="single" w:color="000000" w:sz="4" w:space="0"/>
              <w:bottom w:val="sing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olor w:val="000000" w:themeColor="text1"/>
                <w:sz w:val="24"/>
                <w:highlight w:val="none"/>
                <w14:textFill>
                  <w14:solidFill>
                    <w14:schemeClr w14:val="tx1"/>
                  </w14:solidFill>
                </w14:textFill>
              </w:rPr>
            </w:pPr>
          </w:p>
        </w:tc>
      </w:tr>
      <w:tr>
        <w:tblPrEx>
          <w:tblCellMar>
            <w:top w:w="0" w:type="dxa"/>
            <w:left w:w="0" w:type="dxa"/>
            <w:bottom w:w="0" w:type="dxa"/>
            <w:right w:w="0" w:type="dxa"/>
          </w:tblCellMar>
        </w:tblPrEx>
        <w:trPr>
          <w:trHeight w:val="519" w:hRule="exact"/>
        </w:trPr>
        <w:tc>
          <w:tcPr>
            <w:tcW w:w="455" w:type="pct"/>
            <w:tcBorders>
              <w:top w:val="single" w:color="000000" w:sz="4" w:space="0"/>
              <w:left w:val="doub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1120"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总计</w:t>
            </w:r>
          </w:p>
        </w:tc>
        <w:tc>
          <w:tcPr>
            <w:tcW w:w="831"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932"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lang w:val="en-US" w:eastAsia="zh-CN"/>
                <w14:textFill>
                  <w14:solidFill>
                    <w14:schemeClr w14:val="tx1"/>
                  </w14:solidFill>
                </w14:textFill>
              </w:rPr>
            </w:pPr>
          </w:p>
        </w:tc>
        <w:tc>
          <w:tcPr>
            <w:tcW w:w="887" w:type="pct"/>
            <w:tcBorders>
              <w:top w:val="single" w:color="000000" w:sz="4" w:space="0"/>
              <w:left w:val="single" w:color="000000" w:sz="4" w:space="0"/>
              <w:bottom w:val="doub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b/>
                <w:bCs/>
                <w:color w:val="000000" w:themeColor="text1"/>
                <w:sz w:val="24"/>
                <w:highlight w:val="none"/>
                <w:lang w:val="en-US" w:eastAsia="zh-CN"/>
                <w14:textFill>
                  <w14:solidFill>
                    <w14:schemeClr w14:val="tx1"/>
                  </w14:solidFill>
                </w14:textFill>
              </w:rPr>
            </w:pPr>
            <w:r>
              <w:rPr>
                <w:rFonts w:hint="eastAsia" w:cs="仿宋"/>
                <w:b/>
                <w:bCs/>
                <w:i w:val="0"/>
                <w:iCs w:val="0"/>
                <w:color w:val="000000" w:themeColor="text1"/>
                <w:kern w:val="0"/>
                <w:sz w:val="24"/>
                <w:szCs w:val="24"/>
                <w:u w:val="none"/>
                <w:lang w:val="en-US" w:eastAsia="zh-CN" w:bidi="ar"/>
                <w14:textFill>
                  <w14:solidFill>
                    <w14:schemeClr w14:val="tx1"/>
                  </w14:solidFill>
                </w14:textFill>
              </w:rPr>
              <w:t>4865.85</w:t>
            </w:r>
          </w:p>
        </w:tc>
        <w:tc>
          <w:tcPr>
            <w:tcW w:w="773" w:type="pct"/>
            <w:tcBorders>
              <w:top w:val="single" w:color="000000" w:sz="4" w:space="0"/>
              <w:left w:val="single" w:color="000000" w:sz="4" w:space="0"/>
              <w:bottom w:val="double" w:color="000000" w:sz="4" w:space="0"/>
              <w:right w:val="double" w:color="000000" w:sz="4" w:space="0"/>
            </w:tcBorders>
            <w:shd w:val="clear" w:color="auto" w:fill="auto"/>
            <w:noWrap/>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color w:val="000000" w:themeColor="text1"/>
                <w:sz w:val="24"/>
                <w:highlight w:val="none"/>
                <w14:textFill>
                  <w14:solidFill>
                    <w14:schemeClr w14:val="tx1"/>
                  </w14:solidFill>
                </w14:textFill>
              </w:rPr>
            </w:pPr>
          </w:p>
        </w:tc>
      </w:tr>
    </w:tbl>
    <w:p>
      <w:pPr>
        <w:bidi w:val="0"/>
        <w:rPr>
          <w:rFonts w:hint="eastAsia" w:ascii="仿宋" w:hAnsi="仿宋" w:eastAsia="仿宋" w:cs="仿宋"/>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）运营</w:t>
      </w:r>
      <w:r>
        <w:rPr>
          <w:rFonts w:hint="eastAsia" w:ascii="仿宋" w:hAnsi="仿宋" w:eastAsia="仿宋" w:cs="仿宋"/>
          <w:color w:val="000000" w:themeColor="text1"/>
          <w:lang w:eastAsia="zh-CN"/>
          <w14:textFill>
            <w14:solidFill>
              <w14:schemeClr w14:val="tx1"/>
            </w14:solidFill>
          </w14:textFill>
        </w:rPr>
        <w:t>期成本</w:t>
      </w:r>
      <w:r>
        <w:rPr>
          <w:rFonts w:hint="eastAsia" w:cs="仿宋"/>
          <w:color w:val="000000" w:themeColor="text1"/>
          <w:lang w:eastAsia="zh-CN"/>
          <w14:textFill>
            <w14:solidFill>
              <w14:schemeClr w14:val="tx1"/>
            </w14:solidFill>
          </w14:textFill>
        </w:rPr>
        <w:t>约为</w:t>
      </w:r>
      <w:r>
        <w:rPr>
          <w:rFonts w:hint="eastAsia" w:cs="仿宋"/>
          <w:color w:val="000000" w:themeColor="text1"/>
          <w:lang w:val="en-US" w:eastAsia="zh-CN"/>
          <w14:textFill>
            <w14:solidFill>
              <w14:schemeClr w14:val="tx1"/>
            </w14:solidFill>
          </w14:textFill>
        </w:rPr>
        <w:t>4047.29</w:t>
      </w:r>
      <w:r>
        <w:rPr>
          <w:rFonts w:hint="eastAsia" w:cs="仿宋"/>
          <w:color w:val="000000" w:themeColor="text1"/>
          <w:lang w:eastAsia="zh-CN"/>
          <w14:textFill>
            <w14:solidFill>
              <w14:schemeClr w14:val="tx1"/>
            </w14:solidFill>
          </w14:textFill>
        </w:rPr>
        <w:t>万元。主要</w:t>
      </w:r>
      <w:r>
        <w:rPr>
          <w:rFonts w:hint="eastAsia" w:ascii="仿宋" w:hAnsi="仿宋" w:eastAsia="仿宋" w:cs="仿宋"/>
          <w:color w:val="000000" w:themeColor="text1"/>
          <w:lang w:eastAsia="zh-CN"/>
          <w14:textFill>
            <w14:solidFill>
              <w14:schemeClr w14:val="tx1"/>
            </w14:solidFill>
          </w14:textFill>
        </w:rPr>
        <w:t>包括：</w:t>
      </w:r>
    </w:p>
    <w:p>
      <w:pPr>
        <w:bidi w:val="0"/>
        <w:rPr>
          <w:rFonts w:hint="eastAsia" w:cs="仿宋"/>
          <w:color w:val="000000" w:themeColor="text1"/>
          <w:lang w:eastAsia="zh-CN"/>
          <w14:textFill>
            <w14:solidFill>
              <w14:schemeClr w14:val="tx1"/>
            </w14:solidFill>
          </w14:textFill>
        </w:rPr>
      </w:pPr>
      <w:r>
        <w:rPr>
          <w:rFonts w:hint="eastAsia" w:cs="仿宋"/>
          <w:color w:val="000000" w:themeColor="text1"/>
          <w:lang w:val="en-US" w:eastAsia="zh-CN"/>
          <w14:textFill>
            <w14:solidFill>
              <w14:schemeClr w14:val="tx1"/>
            </w14:solidFill>
          </w14:textFill>
        </w:rPr>
        <w:t>1</w:t>
      </w:r>
      <w:r>
        <w:rPr>
          <w:rFonts w:hint="eastAsia" w:cs="仿宋"/>
          <w:color w:val="000000" w:themeColor="text1"/>
          <w:lang w:eastAsia="zh-CN"/>
          <w14:textFill>
            <w14:solidFill>
              <w14:schemeClr w14:val="tx1"/>
            </w14:solidFill>
          </w14:textFill>
        </w:rPr>
        <w:t>）</w:t>
      </w:r>
      <w:r>
        <w:rPr>
          <w:rFonts w:hint="eastAsia"/>
          <w:color w:val="000000" w:themeColor="text1"/>
          <w:highlight w:val="none"/>
          <w:u w:val="none"/>
          <w14:textFill>
            <w14:solidFill>
              <w14:schemeClr w14:val="tx1"/>
            </w14:solidFill>
          </w14:textFill>
        </w:rPr>
        <w:t>员工薪酬</w:t>
      </w:r>
      <w:r>
        <w:rPr>
          <w:rFonts w:hint="eastAsia"/>
          <w:color w:val="000000" w:themeColor="text1"/>
          <w:highlight w:val="none"/>
          <w:u w:val="none"/>
          <w:lang w:val="en-US" w:eastAsia="zh-CN"/>
          <w14:textFill>
            <w14:solidFill>
              <w14:schemeClr w14:val="tx1"/>
            </w14:solidFill>
          </w14:textFill>
        </w:rPr>
        <w:t>及福利费</w:t>
      </w:r>
      <w:r>
        <w:rPr>
          <w:rFonts w:hint="eastAsia" w:cs="仿宋"/>
          <w:color w:val="000000" w:themeColor="text1"/>
          <w:highlight w:val="none"/>
          <w:u w:val="none"/>
          <w14:textFill>
            <w14:solidFill>
              <w14:schemeClr w14:val="tx1"/>
            </w14:solidFill>
          </w14:textFill>
        </w:rPr>
        <w:t>：</w:t>
      </w:r>
      <w:r>
        <w:rPr>
          <w:rFonts w:hint="eastAsia" w:cs="仿宋"/>
          <w:color w:val="000000" w:themeColor="text1"/>
          <w:highlight w:val="none"/>
          <w:u w:val="none"/>
          <w:lang w:val="en-US" w:eastAsia="zh-CN"/>
          <w14:textFill>
            <w14:solidFill>
              <w14:schemeClr w14:val="tx1"/>
            </w14:solidFill>
          </w14:textFill>
        </w:rPr>
        <w:t>员工30人，工资3600元/月，员工福利费按工资的14%发放，则工资和福利费为147.74万元。</w:t>
      </w:r>
    </w:p>
    <w:p>
      <w:pPr>
        <w:bidi w:val="0"/>
        <w:rPr>
          <w:rFonts w:hint="default" w:cs="仿宋"/>
          <w:color w:val="000000" w:themeColor="text1"/>
          <w:lang w:val="en-US" w:eastAsia="zh-CN"/>
          <w14:textFill>
            <w14:solidFill>
              <w14:schemeClr w14:val="tx1"/>
            </w14:solidFill>
          </w14:textFill>
        </w:rPr>
      </w:pPr>
      <w:r>
        <w:rPr>
          <w:rFonts w:hint="eastAsia" w:cs="仿宋"/>
          <w:color w:val="000000" w:themeColor="text1"/>
          <w:lang w:val="en-US" w:eastAsia="zh-CN"/>
          <w14:textFill>
            <w14:solidFill>
              <w14:schemeClr w14:val="tx1"/>
            </w14:solidFill>
          </w14:textFill>
        </w:rPr>
        <w:t>2）水电费及运费：水费按每年12万元计取；电费按每年20.5万计取；运输费按130万计取；原材料供应每年3209.80万元，原材料供应分别为：黑青稞12°P拉格啤酒每年所需原料价格为1440万元，黑青稞啤酒（13.5°P黑啤）每年所需原料价格为1036.80万元，外包装费用为52.00万元，外包装瓶336.00万元，外购辅料为170.00万元，运输费用175.00万元。</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）管理费及修理费：管理费按每年</w:t>
      </w:r>
      <w:r>
        <w:rPr>
          <w:rFonts w:hint="eastAsia"/>
          <w:color w:val="000000" w:themeColor="text1"/>
          <w:lang w:val="en-US" w:eastAsia="zh-CN"/>
          <w14:textFill>
            <w14:solidFill>
              <w14:schemeClr w14:val="tx1"/>
            </w14:solidFill>
          </w14:textFill>
        </w:rPr>
        <w:t>243.29万元计取。</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折旧费：项目固定资产房屋折旧年限为25年，设备折旧年限为10年，其它折旧年限为15年，综合折旧率为4%，年折旧额为162.24万元。</w:t>
      </w:r>
    </w:p>
    <w:p>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维修费按</w:t>
      </w:r>
      <w:r>
        <w:rPr>
          <w:rFonts w:hint="eastAsia"/>
          <w:color w:val="000000" w:themeColor="text1"/>
          <w:highlight w:val="none"/>
          <w:lang w:val="en-US" w:eastAsia="zh-CN"/>
          <w14:textFill>
            <w14:solidFill>
              <w14:schemeClr w14:val="tx1"/>
            </w14:solidFill>
          </w14:textFill>
        </w:rPr>
        <w:t>折旧</w:t>
      </w:r>
      <w:r>
        <w:rPr>
          <w:color w:val="000000" w:themeColor="text1"/>
          <w:highlight w:val="none"/>
          <w14:textFill>
            <w14:solidFill>
              <w14:schemeClr w14:val="tx1"/>
            </w14:solidFill>
          </w14:textFill>
        </w:rPr>
        <w:t>费的</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5%计取，约为</w:t>
      </w:r>
      <w:r>
        <w:rPr>
          <w:rFonts w:hint="eastAsia"/>
          <w:color w:val="000000" w:themeColor="text1"/>
          <w:highlight w:val="none"/>
          <w:lang w:val="en-US" w:eastAsia="zh-CN"/>
          <w14:textFill>
            <w14:solidFill>
              <w14:schemeClr w14:val="tx1"/>
            </w14:solidFill>
          </w14:textFill>
        </w:rPr>
        <w:t>24.34</w:t>
      </w:r>
      <w:r>
        <w:rPr>
          <w:color w:val="000000" w:themeColor="text1"/>
          <w:highlight w:val="none"/>
          <w14:textFill>
            <w14:solidFill>
              <w14:schemeClr w14:val="tx1"/>
            </w14:solidFill>
          </w14:textFill>
        </w:rPr>
        <w:t>万元。</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）销售费用（企业广告费、宣传费、代销费等费用之和）：本项目按销售收入的5%计，为</w:t>
      </w:r>
      <w:r>
        <w:rPr>
          <w:rFonts w:hint="eastAsia"/>
          <w:color w:val="000000" w:themeColor="text1"/>
          <w:lang w:val="en-US" w:eastAsia="zh-CN"/>
          <w14:textFill>
            <w14:solidFill>
              <w14:schemeClr w14:val="tx1"/>
            </w14:solidFill>
          </w14:textFill>
        </w:rPr>
        <w:t>243.29万元。</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bCs/>
          <w:color w:val="000000" w:themeColor="text1"/>
          <w:sz w:val="28"/>
          <w:szCs w:val="28"/>
          <w14:textFill>
            <w14:solidFill>
              <w14:schemeClr w14:val="tx1"/>
            </w14:solidFill>
          </w14:textFill>
        </w:rPr>
        <w:t>税金及附加</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根据本行业的有关文件规定，本项目所交纳的税种为：增值税13%；城市建设维护费</w:t>
      </w:r>
      <w:r>
        <w:rPr>
          <w:rFonts w:hint="eastAsia"/>
          <w:bCs/>
          <w:color w:val="000000" w:themeColor="text1"/>
          <w:sz w:val="28"/>
          <w:szCs w:val="28"/>
          <w:lang w:val="en-US" w:eastAsia="zh-CN"/>
          <w14:textFill>
            <w14:solidFill>
              <w14:schemeClr w14:val="tx1"/>
            </w14:solidFill>
          </w14:textFill>
        </w:rPr>
        <w:t>1</w:t>
      </w:r>
      <w:r>
        <w:rPr>
          <w:rFonts w:hint="eastAsia"/>
          <w:bCs/>
          <w:color w:val="000000" w:themeColor="text1"/>
          <w:sz w:val="28"/>
          <w:szCs w:val="28"/>
          <w14:textFill>
            <w14:solidFill>
              <w14:schemeClr w14:val="tx1"/>
            </w14:solidFill>
          </w14:textFill>
        </w:rPr>
        <w:t>%；教育费附加3%；所得税25%。</w:t>
      </w:r>
    </w:p>
    <w:p>
      <w:pPr>
        <w:spacing w:line="360" w:lineRule="auto"/>
        <w:ind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根据国家及青海省税收的有关规定，年平均税金及附加为</w:t>
      </w:r>
      <w:r>
        <w:rPr>
          <w:rFonts w:hint="eastAsia"/>
          <w:bCs/>
          <w:color w:val="000000" w:themeColor="text1"/>
          <w:sz w:val="28"/>
          <w:szCs w:val="28"/>
          <w:lang w:val="en-US" w:eastAsia="zh-CN"/>
          <w14:textFill>
            <w14:solidFill>
              <w14:schemeClr w14:val="tx1"/>
            </w14:solidFill>
          </w14:textFill>
        </w:rPr>
        <w:t>582.18</w:t>
      </w:r>
      <w:r>
        <w:rPr>
          <w:rFonts w:hint="eastAsia"/>
          <w:bCs/>
          <w:color w:val="000000" w:themeColor="text1"/>
          <w:sz w:val="28"/>
          <w:szCs w:val="28"/>
          <w14:textFill>
            <w14:solidFill>
              <w14:schemeClr w14:val="tx1"/>
            </w14:solidFill>
          </w14:textFill>
        </w:rPr>
        <w:t>万元，所得税为</w:t>
      </w:r>
      <w:r>
        <w:rPr>
          <w:rFonts w:hint="eastAsia"/>
          <w:bCs/>
          <w:color w:val="000000" w:themeColor="text1"/>
          <w:sz w:val="28"/>
          <w:szCs w:val="28"/>
          <w:lang w:val="en-US" w:eastAsia="zh-CN"/>
          <w14:textFill>
            <w14:solidFill>
              <w14:schemeClr w14:val="tx1"/>
            </w14:solidFill>
          </w14:textFill>
        </w:rPr>
        <w:t>59.10</w:t>
      </w:r>
      <w:r>
        <w:rPr>
          <w:rFonts w:hint="eastAsia"/>
          <w:bCs/>
          <w:color w:val="000000" w:themeColor="text1"/>
          <w:sz w:val="28"/>
          <w:szCs w:val="28"/>
          <w14:textFill>
            <w14:solidFill>
              <w14:schemeClr w14:val="tx1"/>
            </w14:solidFill>
          </w14:textFill>
        </w:rPr>
        <w:t>万元。</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（4）净利润为：4865.85万元-582.18万元-59.10万元=177.28万元。</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黑青稞啤酒生产项目的利润率为9.37%，达到国家规定的收益标准。</w:t>
      </w:r>
    </w:p>
    <w:p>
      <w:pPr>
        <w:pStyle w:val="4"/>
        <w:bidi w:val="0"/>
        <w:rPr>
          <w:rFonts w:hint="eastAsia"/>
          <w:color w:val="auto"/>
          <w:lang w:val="en-US" w:eastAsia="zh-CN"/>
        </w:rPr>
      </w:pPr>
      <w:bookmarkStart w:id="378" w:name="_Toc20139"/>
      <w:r>
        <w:rPr>
          <w:rFonts w:hint="eastAsia"/>
          <w:color w:val="auto"/>
          <w:lang w:val="en-US" w:eastAsia="zh-CN"/>
        </w:rPr>
        <w:t>14.2.2选择第三方运营模式</w:t>
      </w:r>
    </w:p>
    <w:p>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通过囊谦县政府会议选择有资质的企业进行运营，或者以竞标的方式择优选择第三方运营的经营模式。固定资产评估部门，将本项目的固定资产进行评估，后期将以租赁的形式承租第三方，收取租金，年租赁费用也需达到国家规定乡村振兴产业项目的收益标准，不得低于本项目投资额的6%。本项目收益资金归囊谦县固定资产财政收入。扶贫项目资产收益重点用于巩固拓展脱贫攻坚成果和全面实现乡村振兴，本项目经济收益主要用于扶贫产业、公益事业等有利于囊谦县发展的方面；提倡多劳多得，建立正向的激励机制和反向制约机制，采取以生产奖补、公益性岗位劳务补助等形式进行差异化奖补。</w:t>
      </w:r>
    </w:p>
    <w:p>
      <w:pPr>
        <w:pStyle w:val="2"/>
        <w:rPr>
          <w:rFonts w:hint="eastAsia" w:eastAsia="方正大标宋简体"/>
          <w:color w:val="000000" w:themeColor="text1"/>
          <w:highlight w:val="none"/>
          <w:u w:val="none"/>
          <w:lang w:val="en-US" w:eastAsia="zh-CN"/>
          <w14:textFill>
            <w14:solidFill>
              <w14:schemeClr w14:val="tx1"/>
            </w14:solidFill>
          </w14:textFill>
        </w:rPr>
      </w:pPr>
      <w:bookmarkStart w:id="379" w:name="_Toc25053"/>
      <w:r>
        <w:rPr>
          <w:rFonts w:hint="eastAsia"/>
          <w:color w:val="000000" w:themeColor="text1"/>
          <w:highlight w:val="none"/>
          <w:u w:val="none"/>
          <w14:textFill>
            <w14:solidFill>
              <w14:schemeClr w14:val="tx1"/>
            </w14:solidFill>
          </w14:textFill>
        </w:rPr>
        <w:t>第</w:t>
      </w:r>
      <w:r>
        <w:rPr>
          <w:rFonts w:hint="eastAsia"/>
          <w:color w:val="000000" w:themeColor="text1"/>
          <w:highlight w:val="none"/>
          <w:u w:val="none"/>
          <w:lang w:val="en-US" w:eastAsia="zh-CN"/>
          <w14:textFill>
            <w14:solidFill>
              <w14:schemeClr w14:val="tx1"/>
            </w14:solidFill>
          </w14:textFill>
        </w:rPr>
        <w:t>15</w:t>
      </w:r>
      <w:r>
        <w:rPr>
          <w:rFonts w:hint="eastAsia"/>
          <w:color w:val="000000" w:themeColor="text1"/>
          <w:highlight w:val="none"/>
          <w:u w:val="none"/>
          <w14:textFill>
            <w14:solidFill>
              <w14:schemeClr w14:val="tx1"/>
            </w14:solidFill>
          </w14:textFill>
        </w:rPr>
        <w:t xml:space="preserve">章 </w:t>
      </w:r>
      <w:r>
        <w:rPr>
          <w:rFonts w:hint="eastAsia"/>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u w:val="none"/>
          <w14:textFill>
            <w14:solidFill>
              <w14:schemeClr w14:val="tx1"/>
            </w14:solidFill>
          </w14:textFill>
        </w:rPr>
        <w:t>项目组织管理与</w:t>
      </w:r>
      <w:r>
        <w:rPr>
          <w:rFonts w:hint="eastAsia"/>
          <w:color w:val="000000" w:themeColor="text1"/>
          <w:highlight w:val="none"/>
          <w:u w:val="none"/>
          <w:lang w:val="en-US" w:eastAsia="zh-CN"/>
          <w14:textFill>
            <w14:solidFill>
              <w14:schemeClr w14:val="tx1"/>
            </w14:solidFill>
          </w14:textFill>
        </w:rPr>
        <w:t>运行机制</w:t>
      </w:r>
      <w:bookmarkEnd w:id="378"/>
      <w:bookmarkEnd w:id="379"/>
    </w:p>
    <w:p>
      <w:pPr>
        <w:pStyle w:val="3"/>
        <w:rPr>
          <w:rFonts w:hint="default"/>
          <w:color w:val="000000" w:themeColor="text1"/>
          <w:highlight w:val="none"/>
          <w:u w:val="none"/>
          <w:lang w:val="en-US" w:eastAsia="zh-CN"/>
          <w14:textFill>
            <w14:solidFill>
              <w14:schemeClr w14:val="tx1"/>
            </w14:solidFill>
          </w14:textFill>
        </w:rPr>
      </w:pPr>
      <w:bookmarkStart w:id="380" w:name="_Toc14170"/>
      <w:bookmarkStart w:id="381" w:name="_Toc31201"/>
      <w:bookmarkStart w:id="382" w:name="_Toc12719"/>
      <w:r>
        <w:rPr>
          <w:rFonts w:hint="eastAsia"/>
          <w:color w:val="000000" w:themeColor="text1"/>
          <w:highlight w:val="none"/>
          <w:u w:val="none"/>
          <w:lang w:val="en-US" w:eastAsia="zh-CN"/>
          <w14:textFill>
            <w14:solidFill>
              <w14:schemeClr w14:val="tx1"/>
            </w14:solidFill>
          </w14:textFill>
        </w:rPr>
        <w:t>15.1项目组织管理</w:t>
      </w:r>
      <w:bookmarkEnd w:id="380"/>
      <w:bookmarkEnd w:id="381"/>
      <w:bookmarkEnd w:id="382"/>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15.1.1项目组织管理</w:t>
      </w:r>
    </w:p>
    <w:p>
      <w:pPr>
        <w:pStyle w:val="5"/>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（1）成立领导小组</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为确保本项目的顺利完成，在建设期应成立“囊谦县黑青稞啤酒生产线引进采购安装项目实施领导小组”，领导小组全面负责本项目的建设，并设立项目管理办公室。</w:t>
      </w:r>
    </w:p>
    <w:p>
      <w:pPr>
        <w:pStyle w:val="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（2）各相关部门工作职责</w:t>
      </w:r>
    </w:p>
    <w:p>
      <w:pPr>
        <w:ind w:firstLine="560"/>
        <w:rPr>
          <w:rFonts w:hint="default" w:cs="宋体"/>
          <w:color w:val="000000" w:themeColor="text1"/>
          <w:szCs w:val="28"/>
          <w:highlight w:val="none"/>
          <w:u w:val="none"/>
          <w:lang w:val="en-US" w:eastAsia="zh-CN"/>
          <w14:textFill>
            <w14:solidFill>
              <w14:schemeClr w14:val="tx1"/>
            </w14:solidFill>
          </w14:textFill>
        </w:rPr>
      </w:pPr>
      <w:r>
        <w:rPr>
          <w:rFonts w:hint="default" w:cs="宋体"/>
          <w:color w:val="000000" w:themeColor="text1"/>
          <w:szCs w:val="28"/>
          <w:highlight w:val="none"/>
          <w:u w:val="none"/>
          <w:lang w:val="en-US" w:eastAsia="zh-CN"/>
          <w14:textFill>
            <w14:solidFill>
              <w14:schemeClr w14:val="tx1"/>
            </w14:solidFill>
          </w14:textFill>
        </w:rPr>
        <w:t>县乡村振兴局：统一安排、协调有关部门督促检查项目实施；组织协调项目管理、监督、检查和验收等工作，负责组织实施财政扶贫资金的建设内容。</w:t>
      </w:r>
    </w:p>
    <w:p>
      <w:pPr>
        <w:ind w:firstLine="560"/>
        <w:rPr>
          <w:rFonts w:hint="default" w:cs="宋体"/>
          <w:color w:val="000000" w:themeColor="text1"/>
          <w:szCs w:val="28"/>
          <w:highlight w:val="none"/>
          <w:u w:val="none"/>
          <w:lang w:val="en-US" w:eastAsia="zh-CN"/>
          <w14:textFill>
            <w14:solidFill>
              <w14:schemeClr w14:val="tx1"/>
            </w14:solidFill>
          </w14:textFill>
        </w:rPr>
      </w:pPr>
      <w:r>
        <w:rPr>
          <w:rFonts w:hint="default" w:cs="宋体"/>
          <w:color w:val="000000" w:themeColor="text1"/>
          <w:szCs w:val="28"/>
          <w:highlight w:val="none"/>
          <w:u w:val="none"/>
          <w:lang w:val="en-US" w:eastAsia="zh-CN"/>
          <w14:textFill>
            <w14:solidFill>
              <w14:schemeClr w14:val="tx1"/>
            </w14:solidFill>
          </w14:textFill>
        </w:rPr>
        <w:t>县财政局：负责项目资金的落实、拨付和管理，监督资金的合理使用，严格执行财政资金使用报账制度。</w:t>
      </w:r>
    </w:p>
    <w:p>
      <w:pPr>
        <w:widowControl w:val="0"/>
        <w:spacing w:after="0" w:line="360" w:lineRule="auto"/>
        <w:ind w:firstLine="560" w:firstLineChars="200"/>
        <w:jc w:val="both"/>
        <w:rPr>
          <w:rFonts w:ascii="仿宋" w:hAnsi="仿宋" w:eastAsia="仿宋" w:cs="Times New Roman"/>
          <w:color w:val="000000" w:themeColor="text1"/>
          <w:kern w:val="2"/>
          <w:sz w:val="28"/>
          <w:szCs w:val="28"/>
          <w:highlight w:val="none"/>
          <w14:textFill>
            <w14:solidFill>
              <w14:schemeClr w14:val="tx1"/>
            </w14:solidFill>
          </w14:textFill>
        </w:rPr>
      </w:pPr>
      <w:r>
        <w:rPr>
          <w:rFonts w:hint="eastAsia" w:ascii="仿宋" w:hAnsi="仿宋" w:eastAsia="仿宋" w:cs="Times New Roman"/>
          <w:color w:val="000000" w:themeColor="text1"/>
          <w:kern w:val="2"/>
          <w:sz w:val="28"/>
          <w:szCs w:val="28"/>
          <w:highlight w:val="none"/>
          <w14:textFill>
            <w14:solidFill>
              <w14:schemeClr w14:val="tx1"/>
            </w14:solidFill>
          </w14:textFill>
        </w:rPr>
        <w:t>县审计局：做好对项目资金的跟踪审计工作，确保项目资金的合理、合法使用。</w:t>
      </w:r>
    </w:p>
    <w:p>
      <w:pPr>
        <w:ind w:firstLine="560"/>
        <w:rPr>
          <w:rFonts w:hint="eastAsia" w:ascii="仿宋" w:hAnsi="仿宋" w:eastAsia="仿宋" w:cs="Times New Roman"/>
          <w:color w:val="000000" w:themeColor="text1"/>
          <w:kern w:val="2"/>
          <w:sz w:val="28"/>
          <w:szCs w:val="28"/>
          <w:highlight w:val="none"/>
          <w14:textFill>
            <w14:solidFill>
              <w14:schemeClr w14:val="tx1"/>
            </w14:solidFill>
          </w14:textFill>
        </w:rPr>
      </w:pPr>
      <w:r>
        <w:rPr>
          <w:rFonts w:hint="eastAsia" w:ascii="仿宋" w:hAnsi="仿宋" w:eastAsia="仿宋" w:cs="Times New Roman"/>
          <w:color w:val="000000" w:themeColor="text1"/>
          <w:kern w:val="2"/>
          <w:sz w:val="28"/>
          <w:szCs w:val="28"/>
          <w:highlight w:val="none"/>
          <w14:textFill>
            <w14:solidFill>
              <w14:schemeClr w14:val="tx1"/>
            </w14:solidFill>
          </w14:textFill>
        </w:rPr>
        <w:t>人民政府：成立项目实施领导小组，由镇党委书记任组长，镇长任第一副组长，主管镇长具体负责项目工作，组织协调好项目建设等工作。按项目要求，切实加强</w:t>
      </w:r>
      <w:r>
        <w:rPr>
          <w:rFonts w:hint="eastAsia" w:cs="Times New Roman"/>
          <w:color w:val="000000" w:themeColor="text1"/>
          <w:kern w:val="2"/>
          <w:sz w:val="28"/>
          <w:szCs w:val="28"/>
          <w:highlight w:val="none"/>
          <w:lang w:val="en-US" w:eastAsia="zh-CN"/>
          <w14:textFill>
            <w14:solidFill>
              <w14:schemeClr w14:val="tx1"/>
            </w14:solidFill>
          </w14:textFill>
        </w:rPr>
        <w:t>对本</w:t>
      </w:r>
      <w:r>
        <w:rPr>
          <w:rFonts w:hint="eastAsia" w:ascii="仿宋" w:hAnsi="仿宋" w:eastAsia="仿宋" w:cs="Times New Roman"/>
          <w:color w:val="000000" w:themeColor="text1"/>
          <w:kern w:val="2"/>
          <w:sz w:val="28"/>
          <w:szCs w:val="28"/>
          <w:highlight w:val="none"/>
          <w14:textFill>
            <w14:solidFill>
              <w14:schemeClr w14:val="tx1"/>
            </w14:solidFill>
          </w14:textFill>
        </w:rPr>
        <w:t>扶贫产业项目的组织领导，周密安排部署，对项目方案编制、组织方案初审、组织实施、监督实施进度和实施质量、资金使用支出、建全档案资料、项目验收总结，以及项目后期运行管理和项目效益发挥负全面监督管理职责。项目实施领导小组应及时向县</w:t>
      </w:r>
      <w:r>
        <w:rPr>
          <w:rFonts w:hint="eastAsia" w:cs="Times New Roman"/>
          <w:color w:val="000000" w:themeColor="text1"/>
          <w:kern w:val="2"/>
          <w:sz w:val="28"/>
          <w:szCs w:val="28"/>
          <w:highlight w:val="none"/>
          <w:lang w:val="en-US" w:eastAsia="zh-CN"/>
          <w14:textFill>
            <w14:solidFill>
              <w14:schemeClr w14:val="tx1"/>
            </w14:solidFill>
          </w14:textFill>
        </w:rPr>
        <w:t>乡村振兴局</w:t>
      </w:r>
      <w:r>
        <w:rPr>
          <w:rFonts w:hint="eastAsia" w:ascii="仿宋" w:hAnsi="仿宋" w:eastAsia="仿宋" w:cs="Times New Roman"/>
          <w:color w:val="000000" w:themeColor="text1"/>
          <w:kern w:val="2"/>
          <w:sz w:val="28"/>
          <w:szCs w:val="28"/>
          <w:highlight w:val="none"/>
          <w14:textFill>
            <w14:solidFill>
              <w14:schemeClr w14:val="tx1"/>
            </w14:solidFill>
          </w14:textFill>
        </w:rPr>
        <w:t>提供项目资料，按期做好项目资金报账工作。</w:t>
      </w:r>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15.1.2项目建设期管理</w:t>
      </w:r>
    </w:p>
    <w:p>
      <w:pPr>
        <w:bidi w:val="0"/>
        <w:rPr>
          <w:rFonts w:hint="eastAsia"/>
          <w:color w:val="000000" w:themeColor="text1"/>
          <w:highlight w:val="none"/>
          <w:lang w:val="en-US" w:eastAsia="zh-CN"/>
          <w14:textFill>
            <w14:solidFill>
              <w14:schemeClr w14:val="tx1"/>
            </w14:solidFill>
          </w14:textFill>
        </w:rPr>
      </w:pPr>
      <w:r>
        <w:rPr>
          <w:rFonts w:hint="eastAsia" w:cs="宋体"/>
          <w:color w:val="000000" w:themeColor="text1"/>
          <w:szCs w:val="28"/>
          <w:highlight w:val="none"/>
          <w:u w:val="none"/>
          <w14:textFill>
            <w14:solidFill>
              <w14:schemeClr w14:val="tx1"/>
            </w14:solidFill>
          </w14:textFill>
        </w:rPr>
        <w:t>本项目由</w:t>
      </w:r>
      <w:r>
        <w:rPr>
          <w:rFonts w:hint="eastAsia" w:cs="宋体"/>
          <w:bCs/>
          <w:color w:val="000000" w:themeColor="text1"/>
          <w:szCs w:val="28"/>
          <w:highlight w:val="none"/>
          <w:u w:val="none"/>
          <w14:textFill>
            <w14:solidFill>
              <w14:schemeClr w14:val="tx1"/>
            </w14:solidFill>
          </w14:textFill>
        </w:rPr>
        <w:t>囊谦县乡村振兴局</w:t>
      </w:r>
      <w:r>
        <w:rPr>
          <w:rFonts w:hint="eastAsia" w:cs="宋体"/>
          <w:color w:val="000000" w:themeColor="text1"/>
          <w:szCs w:val="28"/>
          <w:highlight w:val="none"/>
          <w:u w:val="none"/>
          <w14:textFill>
            <w14:solidFill>
              <w14:schemeClr w14:val="tx1"/>
            </w14:solidFill>
          </w14:textFill>
        </w:rPr>
        <w:t>负责建设，根据国家有关要求，在项目建设管理中实行项目法人负责制、招投标制、工程监理制、合同管理制和建设资金管理制五项制度，同时为确保项目顺利实施，由项目法人负责组建项目建设办公室，下设综合办公室、财务部、工程部等机构，在法人领导下负责建设及处理建设中的项目事宜，确保项目顺利完成。</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首先严格按基本建设程序做好前期工作，实行项目法人责任制，责任落实到项目负责人，工程的勘测设计选择有资质的设计单位设计，保证项目建成后能够正常运行并取得预期的经济效益，加强对工程建设各环节的质量管理，实行工程监理制与质量监督制，禁止使用“三无”产品，确保工程质量达到建设目标。</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为了保障项目正常实施，必须进行“五制”管理，即项目法人制、合同管理制、建设监理制、招投标制、资金管理制，这是实现建设项目管理的关键。</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（1）项目法人制</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项目法人的主要管理职责是对项目的立项、筹资、建设和生产经营等全过程负责，并承担投资风险。政府部门只依法对工程项目进行监督、协调和管理。</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（2）合同管理制</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按有关文件规定，工程的勘察、设计、施工等都必须依法签订合同，各类合同要有明确的质量要求，履约担保和违约处罚条款。</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（3）建设监理制</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工程建设监理的主要内容是进行工程建设合同管理，按照合同控制工程建设的投资、工期和质量，并协调有关各方的工作关系。</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（4）招投标制</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项目土建工程实行公开招标，由具有资质的施工单位进行施工，聘请有资质的工程监理单位对工程进行监理；工程竣工后，由当地城建部门进行验收，验收合格后，方可投入运行。</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（5）资金管理制</w:t>
      </w:r>
    </w:p>
    <w:p>
      <w:pPr>
        <w:ind w:firstLine="56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严格执行《青海省财政衔接资金推进乡村振兴补助资金管理办法》，全面推行公开公示制度。推进政务公开，资金政策文件、管理制度、资金分配结果等信息及时向社会公开，接受社会监督。</w:t>
      </w:r>
    </w:p>
    <w:p>
      <w:pPr>
        <w:bidi w:val="0"/>
        <w:rPr>
          <w:rFonts w:hint="eastAsia" w:cs="仿宋"/>
          <w:color w:val="000000" w:themeColor="text1"/>
          <w:szCs w:val="28"/>
          <w:highlight w:val="none"/>
          <w:u w:val="none"/>
          <w14:textFill>
            <w14:solidFill>
              <w14:schemeClr w14:val="tx1"/>
            </w14:solidFill>
          </w14:textFill>
        </w:rPr>
      </w:pPr>
      <w:r>
        <w:rPr>
          <w:rFonts w:hint="eastAsia" w:cs="仿宋"/>
          <w:color w:val="000000" w:themeColor="text1"/>
          <w:szCs w:val="28"/>
          <w:highlight w:val="none"/>
          <w:u w:val="none"/>
          <w14:textFill>
            <w14:solidFill>
              <w14:schemeClr w14:val="tx1"/>
            </w14:solidFill>
          </w14:textFill>
        </w:rPr>
        <w:t>本项目建设资金由项目办公室具体管理，并按计划签订合同。保证项目资金专门账户、专款专用，各项资金实施统一管理，包括计划安排，资金使用，项目有关经济合同及资金回收等。并由审计、纪检部门监督。工程拨款应按进度拨付，并要有监理工程师的签字，保证项目建设保质按期完成。</w:t>
      </w:r>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15.1.3项目生产组织管理</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（1）项目生产组织机构</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项目依托囊谦县扶贫产业园现有厂房，由政府投资购置相关生产设备，</w:t>
      </w:r>
      <w:r>
        <w:rPr>
          <w:rFonts w:hint="eastAsia"/>
          <w:color w:val="000000" w:themeColor="text1"/>
          <w:lang w:val="zh-CN" w:eastAsia="zh-CN"/>
          <w14:textFill>
            <w14:solidFill>
              <w14:schemeClr w14:val="tx1"/>
            </w14:solidFill>
          </w14:textFill>
        </w:rPr>
        <w:t>通过招商引资的方式，引进具有生产管理和市场营销经验的优秀企业对项目进行管理运营，有专业技术团队提供技术指导。项目运营公司实行总经理负责制，下设生产部、技术部、质检部、销售部、</w:t>
      </w:r>
      <w:r>
        <w:rPr>
          <w:rFonts w:hint="eastAsia"/>
          <w:color w:val="000000" w:themeColor="text1"/>
          <w:lang w:val="en-US" w:eastAsia="zh-CN"/>
          <w14:textFill>
            <w14:solidFill>
              <w14:schemeClr w14:val="tx1"/>
            </w14:solidFill>
          </w14:textFill>
        </w:rPr>
        <w:t>采购部、</w:t>
      </w:r>
      <w:r>
        <w:rPr>
          <w:rFonts w:hint="eastAsia"/>
          <w:color w:val="000000" w:themeColor="text1"/>
          <w:lang w:val="zh-CN" w:eastAsia="zh-CN"/>
          <w14:textFill>
            <w14:solidFill>
              <w14:schemeClr w14:val="tx1"/>
            </w14:solidFill>
          </w14:textFill>
        </w:rPr>
        <w:t>办公室、财务部等</w:t>
      </w:r>
      <w:r>
        <w:rPr>
          <w:rFonts w:hint="eastAsia"/>
          <w:color w:val="000000" w:themeColor="text1"/>
          <w:lang w:val="en-US" w:eastAsia="zh-CN"/>
          <w14:textFill>
            <w14:solidFill>
              <w14:schemeClr w14:val="tx1"/>
            </w14:solidFill>
          </w14:textFill>
        </w:rPr>
        <w:t>，项目组织机构如下图所示：</w:t>
      </w:r>
    </w:p>
    <w:p>
      <w:pPr>
        <w:pStyle w:val="20"/>
        <w:ind w:firstLine="422"/>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48225" cy="2828925"/>
            <wp:effectExtent l="0" t="0" r="9525"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8"/>
                    <a:stretch>
                      <a:fillRect/>
                    </a:stretch>
                  </pic:blipFill>
                  <pic:spPr>
                    <a:xfrm>
                      <a:off x="0" y="0"/>
                      <a:ext cx="4848225" cy="2828925"/>
                    </a:xfrm>
                    <a:prstGeom prst="rect">
                      <a:avLst/>
                    </a:prstGeom>
                    <a:noFill/>
                    <a:ln>
                      <a:noFill/>
                    </a:ln>
                  </pic:spPr>
                </pic:pic>
              </a:graphicData>
            </a:graphic>
          </wp:inline>
        </w:drawing>
      </w:r>
    </w:p>
    <w:p>
      <w:pPr>
        <w:pStyle w:val="20"/>
        <w:ind w:firstLine="422"/>
        <w:jc w:val="center"/>
        <w:rPr>
          <w:rFonts w:ascii="仿宋" w:hAnsi="仿宋"/>
          <w:b/>
          <w:color w:val="000000" w:themeColor="text1"/>
          <w:highlight w:val="none"/>
          <w14:textFill>
            <w14:solidFill>
              <w14:schemeClr w14:val="tx1"/>
            </w14:solidFill>
          </w14:textFill>
        </w:rPr>
      </w:pPr>
      <w:r>
        <w:rPr>
          <w:rFonts w:hint="eastAsia" w:ascii="仿宋" w:hAnsi="仿宋"/>
          <w:b/>
          <w:color w:val="000000" w:themeColor="text1"/>
          <w:highlight w:val="none"/>
          <w14:textFill>
            <w14:solidFill>
              <w14:schemeClr w14:val="tx1"/>
            </w14:solidFill>
          </w14:textFill>
        </w:rPr>
        <w:t>图1</w:t>
      </w:r>
      <w:r>
        <w:rPr>
          <w:rFonts w:hint="eastAsia" w:ascii="仿宋" w:hAnsi="仿宋"/>
          <w:b/>
          <w:color w:val="000000" w:themeColor="text1"/>
          <w:highlight w:val="none"/>
          <w:lang w:val="en-US" w:eastAsia="zh-CN"/>
          <w14:textFill>
            <w14:solidFill>
              <w14:schemeClr w14:val="tx1"/>
            </w14:solidFill>
          </w14:textFill>
        </w:rPr>
        <w:t>5</w:t>
      </w:r>
      <w:r>
        <w:rPr>
          <w:rFonts w:hint="eastAsia" w:ascii="仿宋" w:hAnsi="仿宋"/>
          <w:b/>
          <w:color w:val="000000" w:themeColor="text1"/>
          <w:highlight w:val="none"/>
          <w14:textFill>
            <w14:solidFill>
              <w14:schemeClr w14:val="tx1"/>
            </w14:solidFill>
          </w14:textFill>
        </w:rPr>
        <w:t>-1项目组织机构图</w:t>
      </w:r>
    </w:p>
    <w:p>
      <w:pPr>
        <w:pStyle w:val="5"/>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（2）劳动定员</w:t>
      </w:r>
    </w:p>
    <w:p>
      <w:pPr>
        <w:ind w:firstLine="560"/>
        <w:rPr>
          <w:rFonts w:hint="eastAsia"/>
          <w:bCs/>
          <w:color w:val="000000" w:themeColor="text1"/>
          <w:kern w:val="44"/>
          <w:szCs w:val="28"/>
          <w:highlight w:val="none"/>
          <w14:textFill>
            <w14:solidFill>
              <w14:schemeClr w14:val="tx1"/>
            </w14:solidFill>
          </w14:textFill>
        </w:rPr>
      </w:pPr>
      <w:r>
        <w:rPr>
          <w:rFonts w:hint="eastAsia"/>
          <w:bCs/>
          <w:color w:val="000000" w:themeColor="text1"/>
          <w:kern w:val="44"/>
          <w:szCs w:val="28"/>
          <w:highlight w:val="none"/>
          <w14:textFill>
            <w14:solidFill>
              <w14:schemeClr w14:val="tx1"/>
            </w14:solidFill>
          </w14:textFill>
        </w:rPr>
        <w:t>本项目建成后劳动定员</w:t>
      </w:r>
      <w:r>
        <w:rPr>
          <w:rFonts w:hint="eastAsia"/>
          <w:bCs/>
          <w:color w:val="000000" w:themeColor="text1"/>
          <w:kern w:val="44"/>
          <w:szCs w:val="28"/>
          <w:highlight w:val="none"/>
          <w:lang w:val="en-US" w:eastAsia="zh-CN"/>
          <w14:textFill>
            <w14:solidFill>
              <w14:schemeClr w14:val="tx1"/>
            </w14:solidFill>
          </w14:textFill>
        </w:rPr>
        <w:t>30</w:t>
      </w:r>
      <w:r>
        <w:rPr>
          <w:rFonts w:hint="eastAsia"/>
          <w:bCs/>
          <w:color w:val="000000" w:themeColor="text1"/>
          <w:kern w:val="44"/>
          <w:szCs w:val="28"/>
          <w:highlight w:val="none"/>
          <w14:textFill>
            <w14:solidFill>
              <w14:schemeClr w14:val="tx1"/>
            </w14:solidFill>
          </w14:textFill>
        </w:rPr>
        <w:t>人（管理人员</w:t>
      </w:r>
      <w:r>
        <w:rPr>
          <w:rFonts w:hint="eastAsia"/>
          <w:bCs/>
          <w:color w:val="000000" w:themeColor="text1"/>
          <w:kern w:val="44"/>
          <w:szCs w:val="28"/>
          <w:highlight w:val="none"/>
          <w:lang w:val="en-US" w:eastAsia="zh-CN"/>
          <w14:textFill>
            <w14:solidFill>
              <w14:schemeClr w14:val="tx1"/>
            </w14:solidFill>
          </w14:textFill>
        </w:rPr>
        <w:t>4</w:t>
      </w:r>
      <w:r>
        <w:rPr>
          <w:rFonts w:hint="eastAsia"/>
          <w:bCs/>
          <w:color w:val="000000" w:themeColor="text1"/>
          <w:kern w:val="44"/>
          <w:szCs w:val="28"/>
          <w:highlight w:val="none"/>
          <w:lang w:eastAsia="zh-CN"/>
          <w14:textFill>
            <w14:solidFill>
              <w14:schemeClr w14:val="tx1"/>
            </w14:solidFill>
          </w14:textFill>
        </w:rPr>
        <w:t>人</w:t>
      </w:r>
      <w:r>
        <w:rPr>
          <w:rFonts w:hint="eastAsia"/>
          <w:bCs/>
          <w:color w:val="000000" w:themeColor="text1"/>
          <w:kern w:val="44"/>
          <w:szCs w:val="28"/>
          <w:highlight w:val="none"/>
          <w14:textFill>
            <w14:solidFill>
              <w14:schemeClr w14:val="tx1"/>
            </w14:solidFill>
          </w14:textFill>
        </w:rPr>
        <w:t>，技术人员</w:t>
      </w:r>
      <w:r>
        <w:rPr>
          <w:rFonts w:hint="eastAsia"/>
          <w:bCs/>
          <w:color w:val="000000" w:themeColor="text1"/>
          <w:kern w:val="44"/>
          <w:szCs w:val="28"/>
          <w:highlight w:val="none"/>
          <w:lang w:val="en-US" w:eastAsia="zh-CN"/>
          <w14:textFill>
            <w14:solidFill>
              <w14:schemeClr w14:val="tx1"/>
            </w14:solidFill>
          </w14:textFill>
        </w:rPr>
        <w:t>8</w:t>
      </w:r>
      <w:r>
        <w:rPr>
          <w:rFonts w:hint="eastAsia"/>
          <w:bCs/>
          <w:color w:val="000000" w:themeColor="text1"/>
          <w:kern w:val="44"/>
          <w:szCs w:val="28"/>
          <w:highlight w:val="none"/>
          <w:lang w:eastAsia="zh-CN"/>
          <w14:textFill>
            <w14:solidFill>
              <w14:schemeClr w14:val="tx1"/>
            </w14:solidFill>
          </w14:textFill>
        </w:rPr>
        <w:t>人</w:t>
      </w:r>
      <w:r>
        <w:rPr>
          <w:rFonts w:hint="eastAsia"/>
          <w:bCs/>
          <w:color w:val="000000" w:themeColor="text1"/>
          <w:kern w:val="44"/>
          <w:szCs w:val="28"/>
          <w:highlight w:val="none"/>
          <w14:textFill>
            <w14:solidFill>
              <w14:schemeClr w14:val="tx1"/>
            </w14:solidFill>
          </w14:textFill>
        </w:rPr>
        <w:t>，</w:t>
      </w:r>
      <w:r>
        <w:rPr>
          <w:rFonts w:hint="eastAsia"/>
          <w:bCs/>
          <w:color w:val="000000" w:themeColor="text1"/>
          <w:kern w:val="44"/>
          <w:szCs w:val="28"/>
          <w:highlight w:val="none"/>
          <w:lang w:eastAsia="zh-CN"/>
          <w14:textFill>
            <w14:solidFill>
              <w14:schemeClr w14:val="tx1"/>
            </w14:solidFill>
          </w14:textFill>
        </w:rPr>
        <w:t>生产</w:t>
      </w:r>
      <w:r>
        <w:rPr>
          <w:rFonts w:hint="eastAsia"/>
          <w:bCs/>
          <w:color w:val="000000" w:themeColor="text1"/>
          <w:kern w:val="44"/>
          <w:szCs w:val="28"/>
          <w:highlight w:val="none"/>
          <w14:textFill>
            <w14:solidFill>
              <w14:schemeClr w14:val="tx1"/>
            </w14:solidFill>
          </w14:textFill>
        </w:rPr>
        <w:t>工人</w:t>
      </w:r>
      <w:r>
        <w:rPr>
          <w:rFonts w:hint="eastAsia"/>
          <w:bCs/>
          <w:color w:val="000000" w:themeColor="text1"/>
          <w:kern w:val="44"/>
          <w:szCs w:val="28"/>
          <w:highlight w:val="none"/>
          <w:lang w:val="en-US" w:eastAsia="zh-CN"/>
          <w14:textFill>
            <w14:solidFill>
              <w14:schemeClr w14:val="tx1"/>
            </w14:solidFill>
          </w14:textFill>
        </w:rPr>
        <w:t>18</w:t>
      </w:r>
      <w:r>
        <w:rPr>
          <w:rFonts w:hint="eastAsia"/>
          <w:bCs/>
          <w:color w:val="000000" w:themeColor="text1"/>
          <w:kern w:val="44"/>
          <w:szCs w:val="28"/>
          <w:highlight w:val="none"/>
          <w14:textFill>
            <w14:solidFill>
              <w14:schemeClr w14:val="tx1"/>
            </w14:solidFill>
          </w14:textFill>
        </w:rPr>
        <w:t>人）。</w:t>
      </w:r>
    </w:p>
    <w:p>
      <w:pPr>
        <w:pStyle w:val="5"/>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（3）人员培训</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管理人员、技术人员和生产人员均应进行培训，经考核合格，准于持证独立上岗。当其取得上岗证书后，再在生产中以“传、帮、带”的方式对其他人员进行</w:t>
      </w:r>
      <w:r>
        <w:rPr>
          <w:rFonts w:hint="eastAsia" w:ascii="仿宋_GB2312" w:eastAsia="仿宋_GB2312"/>
          <w:color w:val="000000" w:themeColor="text1"/>
          <w:szCs w:val="28"/>
          <w:highlight w:val="none"/>
          <w:lang w:eastAsia="zh-CN"/>
          <w14:textFill>
            <w14:solidFill>
              <w14:schemeClr w14:val="tx1"/>
            </w14:solidFill>
          </w14:textFill>
        </w:rPr>
        <w:t>现场</w:t>
      </w:r>
      <w:r>
        <w:rPr>
          <w:rFonts w:hint="eastAsia" w:ascii="仿宋_GB2312" w:eastAsia="仿宋_GB2312"/>
          <w:color w:val="000000" w:themeColor="text1"/>
          <w:szCs w:val="28"/>
          <w:highlight w:val="none"/>
          <w14:textFill>
            <w14:solidFill>
              <w14:schemeClr w14:val="tx1"/>
            </w14:solidFill>
          </w14:textFill>
        </w:rPr>
        <w:t>培训。</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培训的内容包括：设备的技术性能，安装调试，测试，检修，维修保养等全部内容。</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w:t>
      </w:r>
      <w:r>
        <w:rPr>
          <w:rFonts w:hint="eastAsia" w:ascii="仿宋_GB2312" w:eastAsia="仿宋_GB2312"/>
          <w:color w:val="000000" w:themeColor="text1"/>
          <w:szCs w:val="28"/>
          <w:highlight w:val="none"/>
          <w:lang w:val="en-US" w:eastAsia="zh-CN"/>
          <w14:textFill>
            <w14:solidFill>
              <w14:schemeClr w14:val="tx1"/>
            </w14:solidFill>
          </w14:textFill>
        </w:rPr>
        <w:t>4</w:t>
      </w:r>
      <w:r>
        <w:rPr>
          <w:rFonts w:hint="eastAsia" w:ascii="仿宋_GB2312" w:eastAsia="仿宋_GB2312"/>
          <w:color w:val="000000" w:themeColor="text1"/>
          <w:szCs w:val="28"/>
          <w:highlight w:val="none"/>
          <w14:textFill>
            <w14:solidFill>
              <w14:schemeClr w14:val="tx1"/>
            </w14:solidFill>
          </w14:textFill>
        </w:rPr>
        <w:t>）人员来源</w:t>
      </w:r>
    </w:p>
    <w:p>
      <w:pPr>
        <w:bidi w:val="0"/>
        <w:rPr>
          <w:rFonts w:hint="eastAsia"/>
          <w:color w:val="000000" w:themeColor="text1"/>
          <w:lang w:val="en-US" w:eastAsia="zh-CN"/>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本项目建成后，就业岗位优先考虑脱贫不稳定户、边缘易致贫户以及因病因灾因意外事故等刚性支出较大或收入大幅缩减导致基本生活出现严重困难户。员工</w:t>
      </w:r>
      <w:r>
        <w:rPr>
          <w:rFonts w:hint="eastAsia"/>
          <w:color w:val="000000" w:themeColor="text1"/>
          <w:szCs w:val="28"/>
          <w:highlight w:val="none"/>
          <w14:textFill>
            <w14:solidFill>
              <w14:schemeClr w14:val="tx1"/>
            </w14:solidFill>
          </w14:textFill>
        </w:rPr>
        <w:t>应进行岗前培训，待培训完成后严格把关，合格后方可上岗。进入本项目的专业技术人员必须经过技术培训和职业素质培训合格后方可上岗</w:t>
      </w:r>
      <w:r>
        <w:rPr>
          <w:rFonts w:hint="eastAsia"/>
          <w:color w:val="000000" w:themeColor="text1"/>
          <w:highlight w:val="none"/>
          <w14:textFill>
            <w14:solidFill>
              <w14:schemeClr w14:val="tx1"/>
            </w14:solidFill>
          </w14:textFill>
        </w:rPr>
        <w:t>。</w:t>
      </w:r>
    </w:p>
    <w:p>
      <w:pPr>
        <w:bidi w:val="0"/>
        <w:rPr>
          <w:rFonts w:hint="eastAsia" w:cs="Times New Roman"/>
          <w:color w:val="000000" w:themeColor="text1"/>
          <w:kern w:val="2"/>
          <w:sz w:val="28"/>
          <w:szCs w:val="28"/>
          <w:highlight w:val="none"/>
          <w:lang w:val="en-US" w:eastAsia="zh-CN"/>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本项目以劳务用工为主要方式带动群众增收的，聘用人员中脱贫人口（含监测帮扶对象）不少于30%，且薪资不得低于企业内同类岗位平均水平，并在实际用工时签订劳务用工合同。</w:t>
      </w:r>
    </w:p>
    <w:p>
      <w:pPr>
        <w:pStyle w:val="5"/>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项目生产管理</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项目建设完成后，</w:t>
      </w:r>
      <w:r>
        <w:rPr>
          <w:rFonts w:hint="eastAsia" w:ascii="仿宋_GB2312" w:eastAsia="仿宋_GB2312"/>
          <w:color w:val="000000" w:themeColor="text1"/>
          <w:szCs w:val="28"/>
          <w:highlight w:val="none"/>
          <w:lang w:eastAsia="zh-CN"/>
          <w14:textFill>
            <w14:solidFill>
              <w14:schemeClr w14:val="tx1"/>
            </w14:solidFill>
          </w14:textFill>
        </w:rPr>
        <w:t>生产车间</w:t>
      </w:r>
      <w:r>
        <w:rPr>
          <w:rFonts w:hint="eastAsia" w:ascii="仿宋_GB2312" w:eastAsia="仿宋_GB2312"/>
          <w:color w:val="000000" w:themeColor="text1"/>
          <w:szCs w:val="28"/>
          <w:highlight w:val="none"/>
          <w14:textFill>
            <w14:solidFill>
              <w14:schemeClr w14:val="tx1"/>
            </w14:solidFill>
          </w14:textFill>
        </w:rPr>
        <w:t>管理应做到如下几点：</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1）建立健全各项制度。项目建成后，建立健全经营管理制度，确保管理、生产各环节规范有序运行，最大限度地发挥人的主观能动性，取得最佳效益。</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2）严格卫生标准，确保产品质量。消费者越来越关注食品安全乃至食品产地和生产过程的卫生标准以及对环境的影响。本项目建成投产后，要通盘考虑生产者经济利益、消费者需求和环境保护三个方面，严密制定原料采集、生产、产品销售和售后服务等各个环节的制度和监管措施，随时检查产品制造和包装、储存场所的卫生防疫状况，精心做好产品安全及营养方面的鉴定。</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 xml:space="preserve">3）严格建立原料的进出登记制度，做到勤进勤出，先进先出，定期清仓检查，防止原料过期、变质、霉变、生虫。及时清理不符合食品安全要求的半成品、产成品。生产车间、成品储存等场所应经常开窗通风，定期清扫，保持干燥和整洁。 </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4）员工必须每年进行健康检查，取得健康证明后方可上岗，不得超期使用健康证明，工作人员应穿戴整洁的工作衣帽，保持个人卫生，洗手消毒后上岗，禁止挠头、咳嗽</w:t>
      </w:r>
      <w:r>
        <w:rPr>
          <w:rFonts w:hint="eastAsia" w:ascii="仿宋_GB2312" w:eastAsia="仿宋_GB2312"/>
          <w:color w:val="000000" w:themeColor="text1"/>
          <w:szCs w:val="28"/>
          <w:highlight w:val="none"/>
          <w:lang w:eastAsia="zh-CN"/>
          <w14:textFill>
            <w14:solidFill>
              <w14:schemeClr w14:val="tx1"/>
            </w14:solidFill>
          </w14:textFill>
        </w:rPr>
        <w:t>、</w:t>
      </w:r>
      <w:r>
        <w:rPr>
          <w:rFonts w:hint="eastAsia" w:ascii="仿宋_GB2312" w:eastAsia="仿宋_GB2312"/>
          <w:color w:val="000000" w:themeColor="text1"/>
          <w:szCs w:val="28"/>
          <w:highlight w:val="none"/>
          <w14:textFill>
            <w14:solidFill>
              <w14:schemeClr w14:val="tx1"/>
            </w14:solidFill>
          </w14:textFill>
        </w:rPr>
        <w:t xml:space="preserve">打喷嚏，产品必须有完整的包装或防尘容器盛放，使用无毒、清洁的售货工具。 </w:t>
      </w:r>
    </w:p>
    <w:p>
      <w:pPr>
        <w:ind w:firstLine="560"/>
        <w:rPr>
          <w:rFonts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5）建立严格的卫生制度，生产车间和包装车间要有防尘、防蝇、防污染设施，有效防止生产过程中产生的废弃物对食品的污染，将相邻工序有效隔离开，避免产生交叉污染，严防有毒物、不洁物对生产、包装工序带来污染，长期保持生产、包装场所洁净 。对生产等环节使用的容器、工具的使用要有明显标志，避免交叉使用，定期检查、不定期抽查，对不符合</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"http://baike.baidu.com/view/2771779.htm" \t "_blank" </w:instrText>
      </w:r>
      <w:r>
        <w:rPr>
          <w:color w:val="000000" w:themeColor="text1"/>
          <w:highlight w:val="none"/>
          <w14:textFill>
            <w14:solidFill>
              <w14:schemeClr w14:val="tx1"/>
            </w14:solidFill>
          </w14:textFill>
        </w:rPr>
        <w:fldChar w:fldCharType="separate"/>
      </w:r>
      <w:r>
        <w:rPr>
          <w:rFonts w:hint="eastAsia" w:ascii="仿宋_GB2312" w:eastAsia="仿宋_GB2312"/>
          <w:color w:val="000000" w:themeColor="text1"/>
          <w:szCs w:val="28"/>
          <w:highlight w:val="none"/>
          <w14:textFill>
            <w14:solidFill>
              <w14:schemeClr w14:val="tx1"/>
            </w14:solidFill>
          </w14:textFill>
        </w:rPr>
        <w:t>食品安全标准</w:t>
      </w:r>
      <w:r>
        <w:rPr>
          <w:rFonts w:hint="eastAsia" w:ascii="仿宋_GB2312" w:eastAsia="仿宋_GB2312"/>
          <w:color w:val="000000" w:themeColor="text1"/>
          <w:szCs w:val="28"/>
          <w:highlight w:val="none"/>
          <w14:textFill>
            <w14:solidFill>
              <w14:schemeClr w14:val="tx1"/>
            </w14:solidFill>
          </w14:textFill>
        </w:rPr>
        <w:fldChar w:fldCharType="end"/>
      </w:r>
      <w:r>
        <w:rPr>
          <w:rFonts w:hint="eastAsia" w:ascii="仿宋_GB2312" w:eastAsia="仿宋_GB2312"/>
          <w:color w:val="000000" w:themeColor="text1"/>
          <w:szCs w:val="28"/>
          <w:highlight w:val="none"/>
          <w14:textFill>
            <w14:solidFill>
              <w14:schemeClr w14:val="tx1"/>
            </w14:solidFill>
          </w14:textFill>
        </w:rPr>
        <w:t>要求的用具及时更换。包装材料应当安全、无害。</w:t>
      </w:r>
    </w:p>
    <w:p>
      <w:pPr>
        <w:pStyle w:val="5"/>
        <w:bidi w:val="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销售管理</w:t>
      </w:r>
    </w:p>
    <w:p>
      <w:pPr>
        <w:ind w:firstLine="560"/>
        <w:rPr>
          <w:rFonts w:hint="eastAsia" w:ascii="仿宋_GB2312" w:eastAsia="仿宋_GB2312"/>
          <w:color w:val="000000" w:themeColor="text1"/>
          <w:szCs w:val="28"/>
          <w:highlight w:val="none"/>
          <w14:textFill>
            <w14:solidFill>
              <w14:schemeClr w14:val="tx1"/>
            </w14:solidFill>
          </w14:textFill>
        </w:rPr>
      </w:pPr>
      <w:r>
        <w:rPr>
          <w:rFonts w:hint="eastAsia" w:ascii="仿宋_GB2312" w:eastAsia="仿宋_GB2312"/>
          <w:color w:val="000000" w:themeColor="text1"/>
          <w:szCs w:val="28"/>
          <w:highlight w:val="none"/>
          <w14:textFill>
            <w14:solidFill>
              <w14:schemeClr w14:val="tx1"/>
            </w14:solidFill>
          </w14:textFill>
        </w:rPr>
        <w:t>项目建成后，</w:t>
      </w:r>
      <w:r>
        <w:rPr>
          <w:rFonts w:hint="eastAsia" w:ascii="仿宋_GB2312" w:eastAsia="仿宋_GB2312"/>
          <w:color w:val="000000" w:themeColor="text1"/>
          <w:szCs w:val="28"/>
          <w:highlight w:val="none"/>
          <w:lang w:eastAsia="zh-CN"/>
          <w14:textFill>
            <w14:solidFill>
              <w14:schemeClr w14:val="tx1"/>
            </w14:solidFill>
          </w14:textFill>
        </w:rPr>
        <w:t>生产</w:t>
      </w:r>
      <w:r>
        <w:rPr>
          <w:rFonts w:hint="eastAsia" w:ascii="仿宋_GB2312" w:eastAsia="仿宋_GB2312"/>
          <w:color w:val="000000" w:themeColor="text1"/>
          <w:szCs w:val="28"/>
          <w:highlight w:val="none"/>
          <w14:textFill>
            <w14:solidFill>
              <w14:schemeClr w14:val="tx1"/>
            </w14:solidFill>
          </w14:textFill>
        </w:rPr>
        <w:t>加工基地应积极开拓新市场，抢占市场占有率，加大推广力度。进一步扩大销售网络覆盖面，逐步扩大市场占有率。从加强销售队伍，提高销售队伍素质，吸收、培养一批优秀营销人才，建立一支精干的销售团队。实施名牌战略，加强对产品品牌的宣传力度。</w:t>
      </w:r>
    </w:p>
    <w:p>
      <w:pPr>
        <w:pStyle w:val="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15.1.4项目后续管理</w:t>
      </w:r>
    </w:p>
    <w:p>
      <w:pPr>
        <w:bidi w:val="0"/>
        <w:rPr>
          <w:rFonts w:hint="eastAsia"/>
          <w:color w:val="000000" w:themeColor="text1"/>
          <w14:textFill>
            <w14:solidFill>
              <w14:schemeClr w14:val="tx1"/>
            </w14:solidFill>
          </w14:textFill>
        </w:rPr>
      </w:pPr>
      <w:bookmarkStart w:id="383" w:name="_Toc9317"/>
      <w:bookmarkStart w:id="384" w:name="_Toc31284"/>
      <w:r>
        <w:rPr>
          <w:rFonts w:hint="eastAsia"/>
          <w:color w:val="000000" w:themeColor="text1"/>
          <w14:textFill>
            <w14:solidFill>
              <w14:schemeClr w14:val="tx1"/>
            </w14:solidFill>
          </w14:textFill>
        </w:rPr>
        <w:t>为充分发挥乡村振兴项目效益，全面巩固拓展脱贫攻坚与乡村振兴有效衔接，根据《中央农办财政部关于加强扶贫项目资产后续管理指导意见的通知》（国办函〔2021〕51号），按照“谁主管、谁负责”的原则，稳妥推进符合条件的扶贫项目资产确权登记，做好资产移交，并纳入相关管理体系。</w:t>
      </w:r>
    </w:p>
    <w:p>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囊谦县县级政府对本项目资产后续管理履行主体责任，明确相关部门、县人民政府管理责任清单。县人民政府要加强项目资产后续运营的日常监管。</w:t>
      </w:r>
    </w:p>
    <w:p>
      <w:pPr>
        <w:pStyle w:val="3"/>
        <w:rPr>
          <w:rFonts w:hint="default" w:eastAsia="方正大标宋简体"/>
          <w:color w:val="000000" w:themeColor="text1"/>
          <w:highlight w:val="none"/>
          <w:u w:val="none"/>
          <w:lang w:val="en-US" w:eastAsia="zh-CN"/>
          <w14:textFill>
            <w14:solidFill>
              <w14:schemeClr w14:val="tx1"/>
            </w14:solidFill>
          </w14:textFill>
        </w:rPr>
      </w:pPr>
      <w:bookmarkStart w:id="385" w:name="_Toc22024"/>
      <w:r>
        <w:rPr>
          <w:rFonts w:hint="eastAsia"/>
          <w:color w:val="000000" w:themeColor="text1"/>
          <w:highlight w:val="none"/>
          <w:u w:val="none"/>
          <w:lang w:val="en-US" w:eastAsia="zh-CN"/>
          <w14:textFill>
            <w14:solidFill>
              <w14:schemeClr w14:val="tx1"/>
            </w14:solidFill>
          </w14:textFill>
        </w:rPr>
        <w:t>15</w:t>
      </w:r>
      <w:r>
        <w:rPr>
          <w:rFonts w:hint="eastAsia"/>
          <w:color w:val="000000" w:themeColor="text1"/>
          <w:highlight w:val="none"/>
          <w:u w:val="none"/>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2项目资产的权属</w:t>
      </w:r>
      <w:bookmarkEnd w:id="383"/>
      <w:bookmarkEnd w:id="384"/>
      <w:bookmarkEnd w:id="385"/>
    </w:p>
    <w:p>
      <w:pPr>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本项目由囊谦县乡村振兴局负责建设，</w:t>
      </w:r>
      <w:r>
        <w:rPr>
          <w:rFonts w:hint="eastAsia"/>
          <w:color w:val="0000FF"/>
          <w:highlight w:val="none"/>
          <w:u w:val="none"/>
          <w:lang w:val="en-US" w:eastAsia="zh-CN"/>
        </w:rPr>
        <w:t>建成后交由囊谦县乡村振兴局暂时代管，后期扶贫产业园将成立扶贫产业园管委会，届时囊谦县乡村振兴局将移交扶贫产业园管委会管理，资产权属也将移交扶贫产业园管委会，</w:t>
      </w:r>
      <w:r>
        <w:rPr>
          <w:rFonts w:hint="eastAsia"/>
          <w:color w:val="000000" w:themeColor="text1"/>
          <w:highlight w:val="none"/>
          <w:u w:val="none"/>
          <w:lang w:val="en-US" w:eastAsia="zh-CN"/>
          <w14:textFill>
            <w14:solidFill>
              <w14:schemeClr w14:val="tx1"/>
            </w14:solidFill>
          </w14:textFill>
        </w:rPr>
        <w:t>负责管理的部门及时办理移交手续，按照行业相关要求进行确权和管理。</w:t>
      </w:r>
      <w:r>
        <w:rPr>
          <w:rFonts w:hint="eastAsia"/>
          <w:color w:val="000000" w:themeColor="text1"/>
          <w:highlight w:val="none"/>
          <w:u w:val="none"/>
          <w14:textFill>
            <w14:solidFill>
              <w14:schemeClr w14:val="tx1"/>
            </w14:solidFill>
          </w14:textFill>
        </w:rPr>
        <w:t>对确权的扶贫项目资产，</w:t>
      </w:r>
      <w:r>
        <w:rPr>
          <w:rFonts w:hint="eastAsia"/>
          <w:color w:val="000000" w:themeColor="text1"/>
          <w:highlight w:val="none"/>
          <w:u w:val="none"/>
          <w:lang w:val="en-US" w:eastAsia="zh-CN"/>
          <w14:textFill>
            <w14:solidFill>
              <w14:schemeClr w14:val="tx1"/>
            </w14:solidFill>
          </w14:textFill>
        </w:rPr>
        <w:t>囊谦县乡村振兴局相关部门</w:t>
      </w:r>
      <w:r>
        <w:rPr>
          <w:rFonts w:hint="eastAsia"/>
          <w:color w:val="000000" w:themeColor="text1"/>
          <w:highlight w:val="none"/>
          <w:u w:val="none"/>
          <w14:textFill>
            <w14:solidFill>
              <w14:schemeClr w14:val="tx1"/>
            </w14:solidFill>
          </w14:textFill>
        </w:rPr>
        <w:t>要担负起监管责任。各级行业主管部门按照职责分工，根据行业领域资产管理制度和规定，履行行业监管职责。</w:t>
      </w:r>
    </w:p>
    <w:p>
      <w:pPr>
        <w:pStyle w:val="3"/>
        <w:keepNext w:val="0"/>
        <w:keepLines w:val="0"/>
        <w:pageBreakBefore w:val="0"/>
        <w:widowControl w:val="0"/>
        <w:kinsoku/>
        <w:wordWrap/>
        <w:overflowPunct/>
        <w:topLinePunct w:val="0"/>
        <w:autoSpaceDE/>
        <w:autoSpaceDN/>
        <w:bidi w:val="0"/>
        <w:adjustRightInd/>
        <w:snapToGrid/>
        <w:textAlignment w:val="auto"/>
        <w:rPr>
          <w:rFonts w:hint="default" w:cs="Times New Roman"/>
          <w:b/>
          <w:bCs/>
          <w:color w:val="000000" w:themeColor="text1"/>
          <w:highlight w:val="none"/>
          <w:u w:val="none"/>
          <w:lang w:val="en-US" w:eastAsia="zh-CN"/>
          <w14:textFill>
            <w14:solidFill>
              <w14:schemeClr w14:val="tx1"/>
            </w14:solidFill>
          </w14:textFill>
        </w:rPr>
      </w:pPr>
      <w:bookmarkStart w:id="386" w:name="_Toc14139"/>
      <w:bookmarkStart w:id="387" w:name="_Toc13257"/>
      <w:bookmarkStart w:id="388" w:name="_Toc7056"/>
      <w:r>
        <w:rPr>
          <w:rFonts w:hint="eastAsia" w:cs="Times New Roman"/>
          <w:b/>
          <w:bCs/>
          <w:color w:val="000000" w:themeColor="text1"/>
          <w:highlight w:val="none"/>
          <w:u w:val="none"/>
          <w:lang w:val="en-US" w:eastAsia="zh-CN"/>
          <w14:textFill>
            <w14:solidFill>
              <w14:schemeClr w14:val="tx1"/>
            </w14:solidFill>
          </w14:textFill>
        </w:rPr>
        <w:t>15.3项目联农带农机制</w:t>
      </w:r>
      <w:bookmarkEnd w:id="386"/>
      <w:bookmarkEnd w:id="387"/>
      <w:bookmarkEnd w:id="388"/>
    </w:p>
    <w:p>
      <w:pP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本项目收益资金归</w:t>
      </w:r>
      <w:r>
        <w:rPr>
          <w:rFonts w:hint="eastAsia" w:cs="宋体"/>
          <w:color w:val="000000" w:themeColor="text1"/>
          <w:kern w:val="2"/>
          <w:sz w:val="28"/>
          <w:szCs w:val="28"/>
          <w:highlight w:val="none"/>
          <w:lang w:val="en-US" w:eastAsia="zh-CN" w:bidi="ar-SA"/>
          <w14:textFill>
            <w14:solidFill>
              <w14:schemeClr w14:val="tx1"/>
            </w14:solidFill>
          </w14:textFill>
        </w:rPr>
        <w:t>囊谦县固定资产财政收入。扶贫项目资产收益重点用于巩固拓展脱贫攻坚成果和全面实现乡村振兴，本项目</w:t>
      </w: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经济收益主要用于</w:t>
      </w:r>
      <w:r>
        <w:rPr>
          <w:rFonts w:hint="eastAsia" w:cs="宋体"/>
          <w:color w:val="000000" w:themeColor="text1"/>
          <w:kern w:val="2"/>
          <w:sz w:val="28"/>
          <w:szCs w:val="28"/>
          <w:highlight w:val="none"/>
          <w:lang w:val="en-US" w:eastAsia="zh-CN" w:bidi="ar-SA"/>
          <w14:textFill>
            <w14:solidFill>
              <w14:schemeClr w14:val="tx1"/>
            </w14:solidFill>
          </w14:textFill>
        </w:rPr>
        <w:t>扶贫产业</w:t>
      </w: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、公益事业等有利于</w:t>
      </w:r>
      <w:r>
        <w:rPr>
          <w:rFonts w:hint="eastAsia" w:cs="宋体"/>
          <w:color w:val="000000" w:themeColor="text1"/>
          <w:kern w:val="2"/>
          <w:sz w:val="28"/>
          <w:szCs w:val="28"/>
          <w:highlight w:val="none"/>
          <w:lang w:val="en-US" w:eastAsia="zh-CN" w:bidi="ar-SA"/>
          <w14:textFill>
            <w14:solidFill>
              <w14:schemeClr w14:val="tx1"/>
            </w14:solidFill>
          </w14:textFill>
        </w:rPr>
        <w:t>囊谦县</w:t>
      </w: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发展的方面；提倡多劳多得，建立正向的激励机制和反向制约机制，采取以生产奖补、公益性岗位劳务补助等形式进行差异化奖补。</w:t>
      </w:r>
    </w:p>
    <w:p>
      <w:pPr>
        <w:spacing w:line="360" w:lineRule="auto"/>
        <w:ind w:firstLine="560"/>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依据</w:t>
      </w:r>
      <w:r>
        <w:rPr>
          <w:rFonts w:hint="eastAsia"/>
          <w:color w:val="000000" w:themeColor="text1"/>
          <w:highlight w:val="none"/>
          <w:u w:val="none"/>
          <w:lang w:val="en-US" w:eastAsia="zh-CN"/>
          <w14:textFill>
            <w14:solidFill>
              <w14:schemeClr w14:val="tx1"/>
            </w14:solidFill>
          </w14:textFill>
        </w:rPr>
        <w:t>《</w:t>
      </w:r>
      <w:r>
        <w:rPr>
          <w:rFonts w:hint="eastAsia"/>
          <w:color w:val="000000" w:themeColor="text1"/>
          <w:highlight w:val="none"/>
          <w:u w:val="none"/>
          <w14:textFill>
            <w14:solidFill>
              <w14:schemeClr w14:val="tx1"/>
            </w14:solidFill>
          </w14:textFill>
        </w:rPr>
        <w:t>中央农办财政部关于加强扶贫项目资产后续管理指导意见的通知</w:t>
      </w:r>
      <w:r>
        <w:rPr>
          <w:rFonts w:hint="eastAsia"/>
          <w:color w:val="000000" w:themeColor="text1"/>
          <w:highlight w:val="none"/>
          <w:u w:val="none"/>
          <w:lang w:val="en-US" w:eastAsia="zh-CN"/>
          <w14:textFill>
            <w14:solidFill>
              <w14:schemeClr w14:val="tx1"/>
            </w14:solidFill>
          </w14:textFill>
        </w:rPr>
        <w:t>》和</w:t>
      </w: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《青海省财政衔接推进乡村振兴补助资金管理办法》（青财农字〔2021〕821号）的文件精神，发挥扶贫项目资产的帮扶作用，经营性资产收益分配按照现行资产管理制度实施</w:t>
      </w:r>
      <w:r>
        <w:rPr>
          <w:rFonts w:hint="eastAsia" w:cs="宋体"/>
          <w:color w:val="000000" w:themeColor="text1"/>
          <w:kern w:val="2"/>
          <w:sz w:val="28"/>
          <w:szCs w:val="28"/>
          <w:highlight w:val="none"/>
          <w:lang w:val="en-US" w:eastAsia="zh-CN" w:bidi="ar-SA"/>
          <w14:textFill>
            <w14:solidFill>
              <w14:schemeClr w14:val="tx1"/>
            </w14:solidFill>
          </w14:textFill>
        </w:rPr>
        <w:t>，</w:t>
      </w: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分配方案和分配结果要及时公开</w:t>
      </w:r>
      <w:r>
        <w:rPr>
          <w:rFonts w:hint="eastAsia" w:cs="宋体"/>
          <w:color w:val="000000" w:themeColor="text1"/>
          <w:kern w:val="2"/>
          <w:sz w:val="28"/>
          <w:szCs w:val="28"/>
          <w:highlight w:val="none"/>
          <w:lang w:val="en-US" w:eastAsia="zh-CN" w:bidi="ar-SA"/>
          <w14:textFill>
            <w14:solidFill>
              <w14:schemeClr w14:val="tx1"/>
            </w14:solidFill>
          </w14:textFill>
        </w:rPr>
        <w:t>，扶贫项目资产收益重点用于巩固拓展脱贫攻坚成果和全面实现乡村振兴。</w:t>
      </w:r>
    </w:p>
    <w:p>
      <w:pPr>
        <w:spacing w:line="360" w:lineRule="auto"/>
        <w:ind w:firstLine="560"/>
        <w:rPr>
          <w:rFonts w:hint="default" w:ascii="仿宋" w:hAnsi="仿宋" w:eastAsia="仿宋" w:cs="宋体"/>
          <w:color w:val="000000" w:themeColor="text1"/>
          <w:kern w:val="2"/>
          <w:sz w:val="28"/>
          <w:szCs w:val="28"/>
          <w:highlight w:val="none"/>
          <w:lang w:val="en-US" w:eastAsia="zh-CN" w:bidi="ar-SA"/>
          <w14:textFill>
            <w14:solidFill>
              <w14:schemeClr w14:val="tx1"/>
            </w14:solidFill>
          </w14:textFill>
        </w:rPr>
      </w:pP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本项目若选择“政府+企业合作”模式，则项目全部投产运营年预估净利润约为177.28万元，利润率为9.37%，达到国家规定的收益标准。本项目选择选择第三方运营模式，后期将以租赁的形式承租第三方，收取租金，年租赁费用也需达到国家规定乡村振兴产业项目的收益标准，不得低于本项目投资额的6%。</w:t>
      </w:r>
    </w:p>
    <w:p>
      <w:pPr>
        <w:spacing w:line="360" w:lineRule="auto"/>
        <w:ind w:firstLine="560"/>
        <w:rPr>
          <w:rFonts w:hint="eastAsia" w:ascii="仿宋" w:hAnsi="仿宋" w:eastAsia="仿宋" w:cs="宋体"/>
          <w:color w:val="000000" w:themeColor="text1"/>
          <w:kern w:val="2"/>
          <w:sz w:val="28"/>
          <w:szCs w:val="28"/>
          <w:highlight w:val="none"/>
          <w:lang w:val="zh-CN" w:eastAsia="zh-CN" w:bidi="ar-SA"/>
          <w14:textFill>
            <w14:solidFill>
              <w14:schemeClr w14:val="tx1"/>
            </w14:solidFill>
          </w14:textFill>
        </w:rPr>
      </w:pPr>
      <w:r>
        <w:rPr>
          <w:rFonts w:hint="eastAsia" w:ascii="仿宋" w:hAnsi="仿宋" w:eastAsia="仿宋" w:cs="宋体"/>
          <w:color w:val="000000" w:themeColor="text1"/>
          <w:kern w:val="2"/>
          <w:sz w:val="28"/>
          <w:szCs w:val="28"/>
          <w:highlight w:val="none"/>
          <w:lang w:val="en-US" w:eastAsia="zh-CN" w:bidi="ar-SA"/>
          <w14:textFill>
            <w14:solidFill>
              <w14:schemeClr w14:val="tx1"/>
            </w14:solidFill>
          </w14:textFill>
        </w:rPr>
        <w:t>本项目收益资金归</w:t>
      </w:r>
      <w:r>
        <w:rPr>
          <w:rFonts w:hint="eastAsia" w:cs="宋体"/>
          <w:color w:val="000000" w:themeColor="text1"/>
          <w:kern w:val="2"/>
          <w:sz w:val="28"/>
          <w:szCs w:val="28"/>
          <w:highlight w:val="none"/>
          <w:lang w:val="en-US" w:eastAsia="zh-CN" w:bidi="ar-SA"/>
          <w14:textFill>
            <w14:solidFill>
              <w14:schemeClr w14:val="tx1"/>
            </w14:solidFill>
          </w14:textFill>
        </w:rPr>
        <w:t>囊谦县固定资产财政收入</w:t>
      </w:r>
      <w:r>
        <w:rPr>
          <w:rFonts w:hint="eastAsia" w:ascii="仿宋" w:hAnsi="仿宋" w:eastAsia="仿宋" w:cs="宋体"/>
          <w:color w:val="000000" w:themeColor="text1"/>
          <w:kern w:val="2"/>
          <w:sz w:val="28"/>
          <w:szCs w:val="28"/>
          <w:highlight w:val="none"/>
          <w:lang w:val="zh-CN" w:eastAsia="zh-CN" w:bidi="ar-SA"/>
          <w14:textFill>
            <w14:solidFill>
              <w14:schemeClr w14:val="tx1"/>
            </w14:solidFill>
          </w14:textFill>
        </w:rPr>
        <w:t>，</w:t>
      </w:r>
      <w:r>
        <w:rPr>
          <w:rFonts w:hint="eastAsia" w:cs="宋体"/>
          <w:color w:val="000000" w:themeColor="text1"/>
          <w:kern w:val="2"/>
          <w:sz w:val="28"/>
          <w:szCs w:val="28"/>
          <w:highlight w:val="none"/>
          <w:lang w:val="en-US" w:eastAsia="zh-CN" w:bidi="ar-SA"/>
          <w14:textFill>
            <w14:solidFill>
              <w14:schemeClr w14:val="tx1"/>
            </w14:solidFill>
          </w14:textFill>
        </w:rPr>
        <w:t>本项目收益情况将</w:t>
      </w:r>
      <w:r>
        <w:rPr>
          <w:rFonts w:hint="eastAsia" w:ascii="仿宋" w:hAnsi="仿宋" w:eastAsia="仿宋" w:cs="宋体"/>
          <w:color w:val="000000" w:themeColor="text1"/>
          <w:kern w:val="2"/>
          <w:sz w:val="28"/>
          <w:szCs w:val="28"/>
          <w:highlight w:val="none"/>
          <w:lang w:val="zh-CN" w:eastAsia="zh-CN" w:bidi="ar-SA"/>
          <w14:textFill>
            <w14:solidFill>
              <w14:schemeClr w14:val="tx1"/>
            </w14:solidFill>
          </w14:textFill>
        </w:rPr>
        <w:t>及时进行公告公示。</w:t>
      </w:r>
    </w:p>
    <w:p>
      <w:pPr>
        <w:widowControl w:val="0"/>
        <w:spacing w:after="0" w:line="360" w:lineRule="auto"/>
        <w:ind w:firstLine="560" w:firstLineChars="200"/>
        <w:jc w:val="both"/>
        <w:rPr>
          <w:rFonts w:hint="eastAsia" w:cs="Times New Roman"/>
          <w:color w:val="000000" w:themeColor="text1"/>
          <w:kern w:val="2"/>
          <w:sz w:val="28"/>
          <w:szCs w:val="28"/>
          <w:highlight w:val="none"/>
          <w:lang w:val="en-US" w:eastAsia="zh-CN"/>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本项目建成后，就业岗位优先考虑脱贫不稳定户、边缘易致贫户以及因病因灾因意外事故等刚性支出较大或收入大幅缩减导致基本生活出现严重困难户。对以劳务用工为主要方式带动群众增收的，聘用人员中脱贫人口（含监测帮扶对象）不少于30%，且薪资不得低于企业内同类岗位平均水平，并在实际用工时签订劳务用工合同。本项目建成后，将提供就业岗位30人。</w:t>
      </w:r>
    </w:p>
    <w:p>
      <w:pPr>
        <w:widowControl w:val="0"/>
        <w:spacing w:after="0" w:line="360" w:lineRule="auto"/>
        <w:ind w:firstLine="560" w:firstLineChars="200"/>
        <w:jc w:val="both"/>
        <w:rPr>
          <w:rFonts w:hint="default" w:cs="Times New Roman"/>
          <w:color w:val="000000" w:themeColor="text1"/>
          <w:kern w:val="2"/>
          <w:sz w:val="28"/>
          <w:szCs w:val="28"/>
          <w:highlight w:val="none"/>
          <w:lang w:val="en-US" w:eastAsia="zh-CN"/>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本项目建成后，原材料将从本地收购，</w:t>
      </w:r>
      <w:r>
        <w:rPr>
          <w:rFonts w:hint="eastAsia" w:cs="Times New Roman"/>
          <w:color w:val="000000" w:themeColor="text1"/>
          <w:kern w:val="2"/>
          <w:sz w:val="28"/>
          <w:szCs w:val="28"/>
          <w:highlight w:val="none"/>
          <w:lang w:val="zh-CN" w:eastAsia="zh-CN"/>
          <w14:textFill>
            <w14:solidFill>
              <w14:schemeClr w14:val="tx1"/>
            </w14:solidFill>
          </w14:textFill>
        </w:rPr>
        <w:t>积极推进“企业+农户+市场”的产业化经营模式，形成黑青稞种植、收购、运输、加工、销售等为一体的产业链，引导</w:t>
      </w:r>
      <w:r>
        <w:rPr>
          <w:rFonts w:hint="eastAsia" w:cs="Times New Roman"/>
          <w:color w:val="000000" w:themeColor="text1"/>
          <w:kern w:val="2"/>
          <w:sz w:val="28"/>
          <w:szCs w:val="28"/>
          <w:highlight w:val="none"/>
          <w:lang w:val="en-US" w:eastAsia="zh-CN"/>
          <w14:textFill>
            <w14:solidFill>
              <w14:schemeClr w14:val="tx1"/>
            </w14:solidFill>
          </w14:textFill>
        </w:rPr>
        <w:t>囊谦县</w:t>
      </w:r>
      <w:r>
        <w:rPr>
          <w:rFonts w:hint="eastAsia" w:cs="Times New Roman"/>
          <w:color w:val="000000" w:themeColor="text1"/>
          <w:kern w:val="2"/>
          <w:sz w:val="28"/>
          <w:szCs w:val="28"/>
          <w:highlight w:val="none"/>
          <w:lang w:val="zh-CN" w:eastAsia="zh-CN"/>
          <w14:textFill>
            <w14:solidFill>
              <w14:schemeClr w14:val="tx1"/>
            </w14:solidFill>
          </w14:textFill>
        </w:rPr>
        <w:t>农民种植优良青稞农作物，形成农业效益增长、农民增收长效机制。</w:t>
      </w:r>
    </w:p>
    <w:p>
      <w:pPr>
        <w:pStyle w:val="3"/>
        <w:bidi w:val="0"/>
        <w:rPr>
          <w:rFonts w:hint="eastAsia"/>
          <w:color w:val="000000" w:themeColor="text1"/>
          <w:highlight w:val="none"/>
          <w:lang w:val="en-US" w:eastAsia="zh-CN"/>
          <w14:textFill>
            <w14:solidFill>
              <w14:schemeClr w14:val="tx1"/>
            </w14:solidFill>
          </w14:textFill>
        </w:rPr>
      </w:pPr>
      <w:bookmarkStart w:id="389" w:name="_Toc6683"/>
      <w:bookmarkStart w:id="390" w:name="_Toc22027"/>
      <w:bookmarkStart w:id="391" w:name="_Toc19423"/>
      <w:r>
        <w:rPr>
          <w:rFonts w:hint="eastAsia"/>
          <w:color w:val="000000" w:themeColor="text1"/>
          <w:highlight w:val="none"/>
          <w:lang w:val="en-US" w:eastAsia="zh-CN"/>
          <w14:textFill>
            <w14:solidFill>
              <w14:schemeClr w14:val="tx1"/>
            </w14:solidFill>
          </w14:textFill>
        </w:rPr>
        <w:t>15.4运营模式</w:t>
      </w:r>
      <w:bookmarkEnd w:id="389"/>
      <w:bookmarkEnd w:id="390"/>
      <w:bookmarkEnd w:id="391"/>
    </w:p>
    <w:p>
      <w:pPr>
        <w:bidi w:val="0"/>
        <w:rPr>
          <w:rFonts w:hint="eastAsia" w:cs="Times New Roman"/>
          <w:color w:val="000000" w:themeColor="text1"/>
          <w:kern w:val="2"/>
          <w:sz w:val="28"/>
          <w:szCs w:val="28"/>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本项目是</w:t>
      </w:r>
      <w:r>
        <w:rPr>
          <w:rFonts w:hint="eastAsia"/>
          <w:color w:val="auto"/>
          <w:szCs w:val="28"/>
          <w:highlight w:val="none"/>
          <w:lang w:val="zh-CN"/>
        </w:rPr>
        <w:t>囊谦县黑青稞</w:t>
      </w:r>
      <w:r>
        <w:rPr>
          <w:rFonts w:hint="eastAsia"/>
          <w:color w:val="auto"/>
          <w:szCs w:val="28"/>
          <w:highlight w:val="none"/>
          <w:lang w:val="en-US" w:eastAsia="zh-CN"/>
        </w:rPr>
        <w:t>啤酒</w:t>
      </w:r>
      <w:r>
        <w:rPr>
          <w:rFonts w:hint="eastAsia"/>
          <w:color w:val="auto"/>
          <w:szCs w:val="28"/>
          <w:highlight w:val="none"/>
          <w:lang w:val="zh-CN"/>
        </w:rPr>
        <w:t>生产线引进采购安装项目</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8"/>
          <w:szCs w:val="28"/>
          <w:highlight w:val="none"/>
          <w:lang w:val="en-US" w:eastAsia="zh-CN"/>
          <w14:textFill>
            <w14:solidFill>
              <w14:schemeClr w14:val="tx1"/>
            </w14:solidFill>
          </w14:textFill>
        </w:rPr>
        <w:t>本项目将采用以下运营模式：（1）通过“政府+企业合作”（2）通过囊谦县政府会议选择有资质的企业进行运营，或者以竞标的方式择优选择第三方运营的经营模式，促进产业的融合发展。</w:t>
      </w:r>
      <w:bookmarkStart w:id="398" w:name="_GoBack"/>
      <w:bookmarkEnd w:id="398"/>
    </w:p>
    <w:p>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完善项目</w:t>
      </w:r>
      <w:r>
        <w:rPr>
          <w:rFonts w:hint="eastAsia"/>
          <w:color w:val="000000" w:themeColor="text1"/>
          <w:highlight w:val="none"/>
          <w:lang w:val="en-US" w:eastAsia="zh-CN"/>
          <w14:textFill>
            <w14:solidFill>
              <w14:schemeClr w14:val="tx1"/>
            </w14:solidFill>
          </w14:textFill>
        </w:rPr>
        <w:t>各项</w:t>
      </w:r>
      <w:r>
        <w:rPr>
          <w:rFonts w:hint="eastAsia"/>
          <w:color w:val="000000" w:themeColor="text1"/>
          <w:highlight w:val="none"/>
          <w14:textFill>
            <w14:solidFill>
              <w14:schemeClr w14:val="tx1"/>
            </w14:solidFill>
          </w14:textFill>
        </w:rPr>
        <w:t>制度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认真贯彻相关法律法规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进一步健全项目法人治理机制，加强决策、执行与监督三者之间的制约与监督，严格按项目制度进行运作管理，实行经营的规模化、标准化、产业化经营和项目化管理。按照相关规定的程序、标准与规范进行产业。</w:t>
      </w:r>
    </w:p>
    <w:p>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健全各项规章制度，加强项</w:t>
      </w:r>
      <w:r>
        <w:rPr>
          <w:rFonts w:hint="eastAsia"/>
          <w:color w:val="000000" w:themeColor="text1"/>
          <w:highlight w:val="none"/>
          <w:lang w:val="en-US" w:eastAsia="zh-CN"/>
          <w14:textFill>
            <w14:solidFill>
              <w14:schemeClr w14:val="tx1"/>
            </w14:solidFill>
          </w14:textFill>
        </w:rPr>
        <w:t>目</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常</w:t>
      </w:r>
      <w:r>
        <w:rPr>
          <w:rFonts w:hint="eastAsia"/>
          <w:color w:val="000000" w:themeColor="text1"/>
          <w:highlight w:val="none"/>
          <w14:textFill>
            <w14:solidFill>
              <w14:schemeClr w14:val="tx1"/>
            </w14:solidFill>
          </w14:textFill>
        </w:rPr>
        <w:t>财务管理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以经营为中心，整合资源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配套相关设施。加强财务管理，严格按财务制度的规定建立、管理和使用会计账册，及时核对账册，做到账账相符、账物相符。</w:t>
      </w:r>
    </w:p>
    <w:p>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加强基础设施维护，保证经营安全进行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生产</w:t>
      </w:r>
      <w:r>
        <w:rPr>
          <w:rFonts w:hint="eastAsia"/>
          <w:color w:val="000000" w:themeColor="text1"/>
          <w:highlight w:val="none"/>
          <w14:textFill>
            <w14:solidFill>
              <w14:schemeClr w14:val="tx1"/>
            </w14:solidFill>
          </w14:textFill>
        </w:rPr>
        <w:t>经营需求，确保各环节安全运转、各岗位之间协调运转。规范管理。严格安全生产规范进行操作使用；定期对</w:t>
      </w:r>
      <w:r>
        <w:rPr>
          <w:rFonts w:hint="eastAsia"/>
          <w:color w:val="000000" w:themeColor="text1"/>
          <w:highlight w:val="none"/>
          <w:lang w:val="en-US" w:eastAsia="zh-CN"/>
          <w14:textFill>
            <w14:solidFill>
              <w14:schemeClr w14:val="tx1"/>
            </w14:solidFill>
          </w14:textFill>
        </w:rPr>
        <w:t>本项目生产设备</w:t>
      </w:r>
      <w:r>
        <w:rPr>
          <w:rFonts w:hint="eastAsia"/>
          <w:color w:val="000000" w:themeColor="text1"/>
          <w:highlight w:val="none"/>
          <w14:textFill>
            <w14:solidFill>
              <w14:schemeClr w14:val="tx1"/>
            </w14:solidFill>
          </w14:textFill>
        </w:rPr>
        <w:t>进行维护和保养。</w:t>
      </w:r>
    </w:p>
    <w:p>
      <w:pPr>
        <w:pStyle w:val="3"/>
        <w:bidi w:val="0"/>
        <w:rPr>
          <w:rFonts w:hint="default"/>
          <w:color w:val="000000" w:themeColor="text1"/>
          <w:highlight w:val="none"/>
          <w:lang w:val="en-US" w:eastAsia="zh-CN"/>
          <w14:textFill>
            <w14:solidFill>
              <w14:schemeClr w14:val="tx1"/>
            </w14:solidFill>
          </w14:textFill>
        </w:rPr>
      </w:pPr>
      <w:bookmarkStart w:id="392" w:name="_Toc17973"/>
      <w:bookmarkStart w:id="393" w:name="_Toc15491"/>
      <w:bookmarkStart w:id="394" w:name="_Toc21865"/>
      <w:r>
        <w:rPr>
          <w:rFonts w:hint="eastAsia"/>
          <w:color w:val="000000" w:themeColor="text1"/>
          <w:highlight w:val="none"/>
          <w:lang w:val="en-US" w:eastAsia="zh-CN"/>
          <w14:textFill>
            <w14:solidFill>
              <w14:schemeClr w14:val="tx1"/>
            </w14:solidFill>
          </w14:textFill>
        </w:rPr>
        <w:t>15.5项目保障措施</w:t>
      </w:r>
      <w:bookmarkEnd w:id="392"/>
      <w:bookmarkEnd w:id="393"/>
      <w:bookmarkEnd w:id="394"/>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15.5.1项目严格落实公示公告保障制度</w:t>
      </w:r>
    </w:p>
    <w:p>
      <w:pPr>
        <w:bidi w:val="0"/>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在项目前期阶段，</w:t>
      </w:r>
      <w:r>
        <w:rPr>
          <w:rFonts w:hint="eastAsia"/>
          <w:color w:val="000000" w:themeColor="text1"/>
          <w:highlight w:val="none"/>
          <w:lang w:val="en-US" w:eastAsia="zh-CN"/>
          <w14:textFill>
            <w14:solidFill>
              <w14:schemeClr w14:val="tx1"/>
            </w14:solidFill>
          </w14:textFill>
        </w:rPr>
        <w:t>严格按照《青海省完善扶贫资金项目公告公示制度实施细则》（青扶局〔2018〕80号）要求，</w:t>
      </w:r>
      <w:r>
        <w:rPr>
          <w:rFonts w:hint="eastAsia" w:cs="Times New Roman"/>
          <w:color w:val="000000" w:themeColor="text1"/>
          <w:kern w:val="2"/>
          <w:sz w:val="28"/>
          <w:szCs w:val="28"/>
          <w:highlight w:val="none"/>
          <w:lang w:val="en-US" w:eastAsia="zh-CN"/>
          <w14:textFill>
            <w14:solidFill>
              <w14:schemeClr w14:val="tx1"/>
            </w14:solidFill>
          </w14:textFill>
        </w:rPr>
        <w:t>将项目进展情况进行公示。</w:t>
      </w:r>
    </w:p>
    <w:p>
      <w:pPr>
        <w:bidi w:val="0"/>
        <w:rPr>
          <w:rFonts w:hint="eastAsia" w:ascii="仿宋" w:hAnsi="仿宋" w:eastAsia="仿宋" w:cs="Times New Roman"/>
          <w:color w:val="000000" w:themeColor="text1"/>
          <w:kern w:val="2"/>
          <w:sz w:val="28"/>
          <w:szCs w:val="28"/>
          <w:highlight w:val="none"/>
          <w14:textFill>
            <w14:solidFill>
              <w14:schemeClr w14:val="tx1"/>
            </w14:solidFill>
          </w14:textFill>
        </w:rPr>
      </w:pPr>
      <w:r>
        <w:rPr>
          <w:rFonts w:hint="eastAsia" w:cs="Times New Roman"/>
          <w:color w:val="000000" w:themeColor="text1"/>
          <w:kern w:val="2"/>
          <w:sz w:val="28"/>
          <w:szCs w:val="28"/>
          <w:highlight w:val="none"/>
          <w:lang w:val="en-US" w:eastAsia="zh-CN"/>
          <w14:textFill>
            <w14:solidFill>
              <w14:schemeClr w14:val="tx1"/>
            </w14:solidFill>
          </w14:textFill>
        </w:rPr>
        <w:t>根据本项目生产需求</w:t>
      </w:r>
      <w:r>
        <w:rPr>
          <w:rFonts w:ascii="仿宋" w:hAnsi="仿宋" w:eastAsia="仿宋" w:cs="Times New Roman"/>
          <w:color w:val="000000" w:themeColor="text1"/>
          <w:kern w:val="2"/>
          <w:sz w:val="28"/>
          <w:szCs w:val="28"/>
          <w:highlight w:val="none"/>
          <w14:textFill>
            <w14:solidFill>
              <w14:schemeClr w14:val="tx1"/>
            </w14:solidFill>
          </w14:textFill>
        </w:rPr>
        <w:t>，</w:t>
      </w:r>
      <w:r>
        <w:rPr>
          <w:rFonts w:hint="eastAsia" w:ascii="仿宋" w:hAnsi="仿宋" w:eastAsia="仿宋" w:cs="Times New Roman"/>
          <w:color w:val="000000" w:themeColor="text1"/>
          <w:kern w:val="2"/>
          <w:sz w:val="28"/>
          <w:szCs w:val="28"/>
          <w:highlight w:val="none"/>
          <w14:textFill>
            <w14:solidFill>
              <w14:schemeClr w14:val="tx1"/>
            </w14:solidFill>
          </w14:textFill>
        </w:rPr>
        <w:t>提出制</w:t>
      </w:r>
      <w:r>
        <w:rPr>
          <w:rFonts w:ascii="仿宋" w:hAnsi="仿宋" w:eastAsia="仿宋" w:cs="Times New Roman"/>
          <w:color w:val="000000" w:themeColor="text1"/>
          <w:kern w:val="2"/>
          <w:sz w:val="28"/>
          <w:szCs w:val="28"/>
          <w:highlight w:val="none"/>
          <w14:textFill>
            <w14:solidFill>
              <w14:schemeClr w14:val="tx1"/>
            </w14:solidFill>
          </w14:textFill>
        </w:rPr>
        <w:t>定</w:t>
      </w:r>
      <w:r>
        <w:rPr>
          <w:rFonts w:hint="eastAsia" w:ascii="仿宋" w:hAnsi="仿宋" w:eastAsia="仿宋" w:cs="Times New Roman"/>
          <w:color w:val="000000" w:themeColor="text1"/>
          <w:kern w:val="2"/>
          <w:sz w:val="28"/>
          <w:szCs w:val="28"/>
          <w:highlight w:val="none"/>
          <w14:textFill>
            <w14:solidFill>
              <w14:schemeClr w14:val="tx1"/>
            </w14:solidFill>
          </w14:textFill>
        </w:rPr>
        <w:t>实施方案</w:t>
      </w:r>
      <w:r>
        <w:rPr>
          <w:rFonts w:ascii="仿宋" w:hAnsi="仿宋" w:eastAsia="仿宋" w:cs="Times New Roman"/>
          <w:color w:val="000000" w:themeColor="text1"/>
          <w:kern w:val="2"/>
          <w:sz w:val="28"/>
          <w:szCs w:val="28"/>
          <w:highlight w:val="none"/>
          <w14:textFill>
            <w14:solidFill>
              <w14:schemeClr w14:val="tx1"/>
            </w14:solidFill>
          </w14:textFill>
        </w:rPr>
        <w:t>，</w:t>
      </w:r>
      <w:r>
        <w:rPr>
          <w:rFonts w:hint="eastAsia" w:ascii="仿宋" w:hAnsi="仿宋" w:eastAsia="仿宋" w:cs="Times New Roman"/>
          <w:color w:val="000000" w:themeColor="text1"/>
          <w:kern w:val="2"/>
          <w:sz w:val="28"/>
          <w:szCs w:val="28"/>
          <w:highlight w:val="none"/>
          <w14:textFill>
            <w14:solidFill>
              <w14:schemeClr w14:val="tx1"/>
            </w14:solidFill>
          </w14:textFill>
        </w:rPr>
        <w:t>经</w:t>
      </w:r>
      <w:r>
        <w:rPr>
          <w:rFonts w:hint="eastAsia" w:cs="Times New Roman"/>
          <w:color w:val="000000" w:themeColor="text1"/>
          <w:kern w:val="2"/>
          <w:sz w:val="28"/>
          <w:szCs w:val="28"/>
          <w:highlight w:val="none"/>
          <w:lang w:val="en-US" w:eastAsia="zh-CN"/>
          <w14:textFill>
            <w14:solidFill>
              <w14:schemeClr w14:val="tx1"/>
            </w14:solidFill>
          </w14:textFill>
        </w:rPr>
        <w:t>人民政府</w:t>
      </w:r>
      <w:r>
        <w:rPr>
          <w:rFonts w:hint="eastAsia" w:ascii="仿宋" w:hAnsi="仿宋" w:eastAsia="仿宋" w:cs="Times New Roman"/>
          <w:color w:val="000000" w:themeColor="text1"/>
          <w:kern w:val="2"/>
          <w:sz w:val="28"/>
          <w:szCs w:val="28"/>
          <w:highlight w:val="none"/>
          <w14:textFill>
            <w14:solidFill>
              <w14:schemeClr w14:val="tx1"/>
            </w14:solidFill>
          </w14:textFill>
        </w:rPr>
        <w:t>会议表决通过后，决定</w:t>
      </w:r>
      <w:r>
        <w:rPr>
          <w:rFonts w:hint="eastAsia" w:cs="Times New Roman"/>
          <w:color w:val="000000" w:themeColor="text1"/>
          <w:kern w:val="2"/>
          <w:sz w:val="28"/>
          <w:szCs w:val="28"/>
          <w:highlight w:val="none"/>
          <w:lang w:val="en-US" w:eastAsia="zh-CN"/>
          <w14:textFill>
            <w14:solidFill>
              <w14:schemeClr w14:val="tx1"/>
            </w14:solidFill>
          </w14:textFill>
        </w:rPr>
        <w:t>申报</w:t>
      </w:r>
      <w:r>
        <w:rPr>
          <w:rFonts w:hint="eastAsia"/>
          <w:color w:val="000000" w:themeColor="text1"/>
          <w:szCs w:val="28"/>
          <w:highlight w:val="none"/>
          <w:lang w:val="zh-CN"/>
          <w14:textFill>
            <w14:solidFill>
              <w14:schemeClr w14:val="tx1"/>
            </w14:solidFill>
          </w14:textFill>
        </w:rPr>
        <w:t>囊谦县黑青稞</w:t>
      </w:r>
      <w:r>
        <w:rPr>
          <w:rFonts w:hint="eastAsia"/>
          <w:color w:val="000000" w:themeColor="text1"/>
          <w:szCs w:val="28"/>
          <w:highlight w:val="none"/>
          <w:lang w:val="en-US" w:eastAsia="zh-CN"/>
          <w14:textFill>
            <w14:solidFill>
              <w14:schemeClr w14:val="tx1"/>
            </w14:solidFill>
          </w14:textFill>
        </w:rPr>
        <w:t>啤酒</w:t>
      </w:r>
      <w:r>
        <w:rPr>
          <w:rFonts w:hint="eastAsia"/>
          <w:color w:val="000000" w:themeColor="text1"/>
          <w:szCs w:val="28"/>
          <w:highlight w:val="none"/>
          <w:lang w:val="zh-CN"/>
          <w14:textFill>
            <w14:solidFill>
              <w14:schemeClr w14:val="tx1"/>
            </w14:solidFill>
          </w14:textFill>
        </w:rPr>
        <w:t>生产线引进采购安装项目</w:t>
      </w:r>
      <w:r>
        <w:rPr>
          <w:rFonts w:hint="eastAsia" w:ascii="仿宋" w:hAnsi="仿宋" w:eastAsia="仿宋" w:cs="Times New Roman"/>
          <w:color w:val="000000" w:themeColor="text1"/>
          <w:kern w:val="2"/>
          <w:sz w:val="28"/>
          <w:szCs w:val="28"/>
          <w:highlight w:val="none"/>
          <w14:textFill>
            <w14:solidFill>
              <w14:schemeClr w14:val="tx1"/>
            </w14:solidFill>
          </w14:textFill>
        </w:rPr>
        <w:t>，</w:t>
      </w:r>
      <w:r>
        <w:rPr>
          <w:rFonts w:ascii="仿宋" w:hAnsi="仿宋" w:eastAsia="仿宋" w:cs="Times New Roman"/>
          <w:color w:val="000000" w:themeColor="text1"/>
          <w:kern w:val="2"/>
          <w:sz w:val="28"/>
          <w:szCs w:val="28"/>
          <w:highlight w:val="none"/>
          <w14:textFill>
            <w14:solidFill>
              <w14:schemeClr w14:val="tx1"/>
            </w14:solidFill>
          </w14:textFill>
        </w:rPr>
        <w:t>按照“</w:t>
      </w:r>
      <w:r>
        <w:rPr>
          <w:rFonts w:hint="eastAsia" w:cs="Times New Roman"/>
          <w:color w:val="000000" w:themeColor="text1"/>
          <w:kern w:val="2"/>
          <w:sz w:val="28"/>
          <w:szCs w:val="28"/>
          <w:highlight w:val="none"/>
          <w:lang w:val="en-US" w:eastAsia="zh-CN"/>
          <w14:textFill>
            <w14:solidFill>
              <w14:schemeClr w14:val="tx1"/>
            </w14:solidFill>
          </w14:textFill>
        </w:rPr>
        <w:t>县乡村振兴局</w:t>
      </w:r>
      <w:r>
        <w:rPr>
          <w:rFonts w:ascii="仿宋" w:hAnsi="仿宋" w:eastAsia="仿宋" w:cs="Times New Roman"/>
          <w:color w:val="000000" w:themeColor="text1"/>
          <w:kern w:val="2"/>
          <w:sz w:val="28"/>
          <w:szCs w:val="28"/>
          <w:highlight w:val="none"/>
          <w14:textFill>
            <w14:solidFill>
              <w14:schemeClr w14:val="tx1"/>
            </w14:solidFill>
          </w14:textFill>
        </w:rPr>
        <w:t>申报、</w:t>
      </w:r>
      <w:r>
        <w:rPr>
          <w:rFonts w:hint="eastAsia" w:cs="Times New Roman"/>
          <w:color w:val="000000" w:themeColor="text1"/>
          <w:kern w:val="2"/>
          <w:sz w:val="28"/>
          <w:szCs w:val="28"/>
          <w:highlight w:val="none"/>
          <w:lang w:val="en-US" w:eastAsia="zh-CN"/>
          <w14:textFill>
            <w14:solidFill>
              <w14:schemeClr w14:val="tx1"/>
            </w14:solidFill>
          </w14:textFill>
        </w:rPr>
        <w:t>县</w:t>
      </w:r>
      <w:r>
        <w:rPr>
          <w:rFonts w:hint="eastAsia" w:ascii="仿宋" w:hAnsi="仿宋" w:eastAsia="仿宋" w:cs="Times New Roman"/>
          <w:color w:val="000000" w:themeColor="text1"/>
          <w:kern w:val="2"/>
          <w:sz w:val="28"/>
          <w:szCs w:val="28"/>
          <w:highlight w:val="none"/>
          <w14:textFill>
            <w14:solidFill>
              <w14:schemeClr w14:val="tx1"/>
            </w14:solidFill>
          </w14:textFill>
        </w:rPr>
        <w:t>审核</w:t>
      </w:r>
      <w:r>
        <w:rPr>
          <w:rFonts w:hint="eastAsia" w:cs="Times New Roman"/>
          <w:color w:val="000000" w:themeColor="text1"/>
          <w:kern w:val="2"/>
          <w:sz w:val="28"/>
          <w:szCs w:val="28"/>
          <w:highlight w:val="none"/>
          <w:lang w:val="en-US" w:eastAsia="zh-CN"/>
          <w14:textFill>
            <w14:solidFill>
              <w14:schemeClr w14:val="tx1"/>
            </w14:solidFill>
          </w14:textFill>
        </w:rPr>
        <w:t>及</w:t>
      </w:r>
      <w:r>
        <w:rPr>
          <w:rFonts w:ascii="仿宋" w:hAnsi="仿宋" w:eastAsia="仿宋" w:cs="Times New Roman"/>
          <w:color w:val="000000" w:themeColor="text1"/>
          <w:kern w:val="2"/>
          <w:sz w:val="28"/>
          <w:szCs w:val="28"/>
          <w:highlight w:val="none"/>
          <w14:textFill>
            <w14:solidFill>
              <w14:schemeClr w14:val="tx1"/>
            </w14:solidFill>
          </w14:textFill>
        </w:rPr>
        <w:t>审定、省市备案”原则，</w:t>
      </w:r>
      <w:r>
        <w:rPr>
          <w:rFonts w:hint="eastAsia" w:ascii="仿宋" w:hAnsi="仿宋" w:eastAsia="仿宋" w:cs="Times New Roman"/>
          <w:color w:val="000000" w:themeColor="text1"/>
          <w:kern w:val="2"/>
          <w:sz w:val="28"/>
          <w:szCs w:val="28"/>
          <w:highlight w:val="none"/>
          <w14:textFill>
            <w14:solidFill>
              <w14:schemeClr w14:val="tx1"/>
            </w14:solidFill>
          </w14:textFill>
        </w:rPr>
        <w:t>由</w:t>
      </w:r>
      <w:r>
        <w:rPr>
          <w:rFonts w:hint="eastAsia" w:cs="Times New Roman"/>
          <w:color w:val="000000" w:themeColor="text1"/>
          <w:kern w:val="2"/>
          <w:sz w:val="28"/>
          <w:szCs w:val="28"/>
          <w:highlight w:val="none"/>
          <w:lang w:val="en-US" w:eastAsia="zh-CN"/>
          <w14:textFill>
            <w14:solidFill>
              <w14:schemeClr w14:val="tx1"/>
            </w14:solidFill>
          </w14:textFill>
        </w:rPr>
        <w:t>县乡村振兴局</w:t>
      </w:r>
      <w:r>
        <w:rPr>
          <w:rFonts w:hint="eastAsia" w:ascii="仿宋" w:hAnsi="仿宋" w:eastAsia="仿宋" w:cs="Times New Roman"/>
          <w:color w:val="000000" w:themeColor="text1"/>
          <w:kern w:val="2"/>
          <w:sz w:val="28"/>
          <w:szCs w:val="28"/>
          <w:highlight w:val="none"/>
          <w14:textFill>
            <w14:solidFill>
              <w14:schemeClr w14:val="tx1"/>
            </w14:solidFill>
          </w14:textFill>
        </w:rPr>
        <w:t>负责</w:t>
      </w:r>
      <w:r>
        <w:rPr>
          <w:rFonts w:ascii="仿宋" w:hAnsi="仿宋" w:eastAsia="仿宋" w:cs="Times New Roman"/>
          <w:color w:val="000000" w:themeColor="text1"/>
          <w:kern w:val="2"/>
          <w:sz w:val="28"/>
          <w:szCs w:val="28"/>
          <w:highlight w:val="none"/>
          <w14:textFill>
            <w14:solidFill>
              <w14:schemeClr w14:val="tx1"/>
            </w14:solidFill>
          </w14:textFill>
        </w:rPr>
        <w:t>申报、</w:t>
      </w:r>
      <w:r>
        <w:rPr>
          <w:rFonts w:hint="eastAsia" w:ascii="仿宋" w:hAnsi="仿宋" w:eastAsia="仿宋" w:cs="Times New Roman"/>
          <w:color w:val="000000" w:themeColor="text1"/>
          <w:kern w:val="2"/>
          <w:sz w:val="28"/>
          <w:szCs w:val="28"/>
          <w:highlight w:val="none"/>
          <w14:textFill>
            <w14:solidFill>
              <w14:schemeClr w14:val="tx1"/>
            </w14:solidFill>
          </w14:textFill>
        </w:rPr>
        <w:t>县</w:t>
      </w:r>
      <w:r>
        <w:rPr>
          <w:rFonts w:ascii="仿宋" w:hAnsi="仿宋" w:eastAsia="仿宋" w:cs="Times New Roman"/>
          <w:color w:val="000000" w:themeColor="text1"/>
          <w:kern w:val="2"/>
          <w:sz w:val="28"/>
          <w:szCs w:val="28"/>
          <w:highlight w:val="none"/>
          <w14:textFill>
            <w14:solidFill>
              <w14:schemeClr w14:val="tx1"/>
            </w14:solidFill>
          </w14:textFill>
        </w:rPr>
        <w:t>人民政府</w:t>
      </w:r>
      <w:r>
        <w:rPr>
          <w:rFonts w:hint="eastAsia" w:ascii="仿宋" w:hAnsi="仿宋" w:eastAsia="仿宋" w:cs="Times New Roman"/>
          <w:color w:val="000000" w:themeColor="text1"/>
          <w:kern w:val="2"/>
          <w:sz w:val="28"/>
          <w:szCs w:val="28"/>
          <w:highlight w:val="none"/>
          <w14:textFill>
            <w14:solidFill>
              <w14:schemeClr w14:val="tx1"/>
            </w14:solidFill>
          </w14:textFill>
        </w:rPr>
        <w:t>负责负责审核</w:t>
      </w:r>
      <w:r>
        <w:rPr>
          <w:rFonts w:hint="eastAsia" w:cs="Times New Roman"/>
          <w:color w:val="000000" w:themeColor="text1"/>
          <w:kern w:val="2"/>
          <w:sz w:val="28"/>
          <w:szCs w:val="28"/>
          <w:highlight w:val="none"/>
          <w:lang w:val="en-US" w:eastAsia="zh-CN"/>
          <w14:textFill>
            <w14:solidFill>
              <w14:schemeClr w14:val="tx1"/>
            </w14:solidFill>
          </w14:textFill>
        </w:rPr>
        <w:t>及</w:t>
      </w:r>
      <w:r>
        <w:rPr>
          <w:rFonts w:ascii="仿宋" w:hAnsi="仿宋" w:eastAsia="仿宋" w:cs="Times New Roman"/>
          <w:color w:val="000000" w:themeColor="text1"/>
          <w:kern w:val="2"/>
          <w:sz w:val="28"/>
          <w:szCs w:val="28"/>
          <w:highlight w:val="none"/>
          <w14:textFill>
            <w14:solidFill>
              <w14:schemeClr w14:val="tx1"/>
            </w14:solidFill>
          </w14:textFill>
        </w:rPr>
        <w:t>审定</w:t>
      </w:r>
      <w:r>
        <w:rPr>
          <w:rFonts w:hint="eastAsia" w:ascii="仿宋" w:hAnsi="仿宋" w:eastAsia="仿宋" w:cs="Times New Roman"/>
          <w:color w:val="000000" w:themeColor="text1"/>
          <w:kern w:val="2"/>
          <w:sz w:val="28"/>
          <w:szCs w:val="28"/>
          <w:highlight w:val="none"/>
          <w14:textFill>
            <w14:solidFill>
              <w14:schemeClr w14:val="tx1"/>
            </w14:solidFill>
          </w14:textFill>
        </w:rPr>
        <w:t>后，由</w:t>
      </w:r>
      <w:r>
        <w:rPr>
          <w:rFonts w:hint="eastAsia" w:cs="Times New Roman"/>
          <w:color w:val="000000" w:themeColor="text1"/>
          <w:kern w:val="2"/>
          <w:sz w:val="28"/>
          <w:szCs w:val="28"/>
          <w:highlight w:val="none"/>
          <w:lang w:val="en-US" w:eastAsia="zh-CN"/>
          <w14:textFill>
            <w14:solidFill>
              <w14:schemeClr w14:val="tx1"/>
            </w14:solidFill>
          </w14:textFill>
        </w:rPr>
        <w:t>县乡村振兴局</w:t>
      </w:r>
      <w:r>
        <w:rPr>
          <w:rFonts w:hint="eastAsia" w:ascii="仿宋" w:hAnsi="仿宋" w:eastAsia="仿宋" w:cs="Times New Roman"/>
          <w:color w:val="000000" w:themeColor="text1"/>
          <w:kern w:val="2"/>
          <w:sz w:val="28"/>
          <w:szCs w:val="28"/>
          <w:highlight w:val="none"/>
          <w14:textFill>
            <w14:solidFill>
              <w14:schemeClr w14:val="tx1"/>
            </w14:solidFill>
          </w14:textFill>
        </w:rPr>
        <w:t>抓</w:t>
      </w:r>
      <w:r>
        <w:rPr>
          <w:rFonts w:ascii="仿宋" w:hAnsi="仿宋" w:eastAsia="仿宋" w:cs="Times New Roman"/>
          <w:color w:val="000000" w:themeColor="text1"/>
          <w:kern w:val="2"/>
          <w:sz w:val="28"/>
          <w:szCs w:val="28"/>
          <w:highlight w:val="none"/>
          <w14:textFill>
            <w14:solidFill>
              <w14:schemeClr w14:val="tx1"/>
            </w14:solidFill>
          </w14:textFill>
        </w:rPr>
        <w:t>好工作落实</w:t>
      </w:r>
      <w:r>
        <w:rPr>
          <w:rFonts w:hint="eastAsia" w:ascii="仿宋" w:hAnsi="仿宋" w:eastAsia="仿宋" w:cs="Times New Roman"/>
          <w:color w:val="000000" w:themeColor="text1"/>
          <w:kern w:val="2"/>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Times New Roman"/>
          <w:color w:val="000000" w:themeColor="text1"/>
          <w:kern w:val="2"/>
          <w:sz w:val="28"/>
          <w:szCs w:val="28"/>
          <w:highlight w:val="none"/>
          <w14:textFill>
            <w14:solidFill>
              <w14:schemeClr w14:val="tx1"/>
            </w14:solidFill>
          </w14:textFill>
        </w:rPr>
      </w:pPr>
      <w:r>
        <w:rPr>
          <w:rFonts w:hint="eastAsia" w:ascii="仿宋" w:hAnsi="仿宋" w:eastAsia="仿宋" w:cs="Times New Roman"/>
          <w:color w:val="000000" w:themeColor="text1"/>
          <w:kern w:val="2"/>
          <w:sz w:val="28"/>
          <w:szCs w:val="28"/>
          <w:highlight w:val="none"/>
          <w14:textFill>
            <w14:solidFill>
              <w14:schemeClr w14:val="tx1"/>
            </w14:solidFill>
          </w14:textFill>
        </w:rPr>
        <w:t>从项目</w:t>
      </w:r>
      <w:r>
        <w:rPr>
          <w:rFonts w:hint="eastAsia" w:cs="Times New Roman"/>
          <w:color w:val="000000" w:themeColor="text1"/>
          <w:kern w:val="2"/>
          <w:sz w:val="28"/>
          <w:szCs w:val="28"/>
          <w:highlight w:val="none"/>
          <w:lang w:val="en-US" w:eastAsia="zh-CN"/>
          <w14:textFill>
            <w14:solidFill>
              <w14:schemeClr w14:val="tx1"/>
            </w14:solidFill>
          </w14:textFill>
        </w:rPr>
        <w:t>建成后</w:t>
      </w:r>
      <w:r>
        <w:rPr>
          <w:rFonts w:hint="eastAsia" w:ascii="仿宋" w:hAnsi="仿宋" w:eastAsia="仿宋" w:cs="Times New Roman"/>
          <w:color w:val="000000" w:themeColor="text1"/>
          <w:kern w:val="2"/>
          <w:sz w:val="28"/>
          <w:szCs w:val="28"/>
          <w:highlight w:val="none"/>
          <w14:textFill>
            <w14:solidFill>
              <w14:schemeClr w14:val="tx1"/>
            </w14:solidFill>
          </w14:textFill>
        </w:rPr>
        <w:t>开始，每年年底，由</w:t>
      </w:r>
      <w:r>
        <w:rPr>
          <w:rFonts w:hint="eastAsia" w:cs="Times New Roman"/>
          <w:color w:val="000000" w:themeColor="text1"/>
          <w:kern w:val="2"/>
          <w:sz w:val="28"/>
          <w:szCs w:val="28"/>
          <w:highlight w:val="none"/>
          <w:lang w:val="en-US" w:eastAsia="zh-CN"/>
          <w14:textFill>
            <w14:solidFill>
              <w14:schemeClr w14:val="tx1"/>
            </w14:solidFill>
          </w14:textFill>
        </w:rPr>
        <w:t>县乡村振兴局</w:t>
      </w:r>
      <w:r>
        <w:rPr>
          <w:rFonts w:hint="eastAsia" w:ascii="仿宋" w:hAnsi="仿宋" w:eastAsia="仿宋" w:cs="Times New Roman"/>
          <w:color w:val="000000" w:themeColor="text1"/>
          <w:kern w:val="2"/>
          <w:sz w:val="28"/>
          <w:szCs w:val="28"/>
          <w:highlight w:val="none"/>
          <w14:textFill>
            <w14:solidFill>
              <w14:schemeClr w14:val="tx1"/>
            </w14:solidFill>
          </w14:textFill>
        </w:rPr>
        <w:t>将</w:t>
      </w:r>
      <w:r>
        <w:rPr>
          <w:rFonts w:hint="eastAsia" w:cs="Times New Roman"/>
          <w:color w:val="000000" w:themeColor="text1"/>
          <w:kern w:val="2"/>
          <w:sz w:val="28"/>
          <w:szCs w:val="28"/>
          <w:highlight w:val="none"/>
          <w:lang w:val="en-US" w:eastAsia="zh-CN"/>
          <w14:textFill>
            <w14:solidFill>
              <w14:schemeClr w14:val="tx1"/>
            </w14:solidFill>
          </w14:textFill>
        </w:rPr>
        <w:t>本</w:t>
      </w:r>
      <w:r>
        <w:rPr>
          <w:rFonts w:hint="eastAsia" w:ascii="仿宋" w:hAnsi="仿宋" w:eastAsia="仿宋" w:cs="Times New Roman"/>
          <w:color w:val="000000" w:themeColor="text1"/>
          <w:kern w:val="2"/>
          <w:sz w:val="28"/>
          <w:szCs w:val="28"/>
          <w:highlight w:val="none"/>
          <w14:textFill>
            <w14:solidFill>
              <w14:schemeClr w14:val="tx1"/>
            </w14:solidFill>
          </w14:textFill>
        </w:rPr>
        <w:t>项目的实际年经营收入、支出和净利润及经济收益分配的具体方案，在</w:t>
      </w:r>
      <w:r>
        <w:rPr>
          <w:rFonts w:hint="eastAsia" w:cs="Times New Roman"/>
          <w:color w:val="000000" w:themeColor="text1"/>
          <w:kern w:val="2"/>
          <w:sz w:val="28"/>
          <w:szCs w:val="28"/>
          <w:highlight w:val="none"/>
          <w:lang w:val="en-US" w:eastAsia="zh-CN"/>
          <w14:textFill>
            <w14:solidFill>
              <w14:schemeClr w14:val="tx1"/>
            </w14:solidFill>
          </w14:textFill>
        </w:rPr>
        <w:t>人民政府</w:t>
      </w:r>
      <w:r>
        <w:rPr>
          <w:rFonts w:hint="eastAsia" w:ascii="仿宋" w:hAnsi="仿宋" w:eastAsia="仿宋" w:cs="Times New Roman"/>
          <w:color w:val="000000" w:themeColor="text1"/>
          <w:kern w:val="2"/>
          <w:sz w:val="28"/>
          <w:szCs w:val="28"/>
          <w:highlight w:val="none"/>
          <w14:textFill>
            <w14:solidFill>
              <w14:schemeClr w14:val="tx1"/>
            </w14:solidFill>
          </w14:textFill>
        </w:rPr>
        <w:t>会议表决通过后，上报县级主管部门</w:t>
      </w:r>
      <w:r>
        <w:rPr>
          <w:rFonts w:hint="eastAsia" w:cs="Times New Roman"/>
          <w:color w:val="000000" w:themeColor="text1"/>
          <w:kern w:val="2"/>
          <w:sz w:val="28"/>
          <w:szCs w:val="28"/>
          <w:highlight w:val="none"/>
          <w:lang w:val="en-US" w:eastAsia="zh-CN"/>
          <w14:textFill>
            <w14:solidFill>
              <w14:schemeClr w14:val="tx1"/>
            </w14:solidFill>
          </w14:textFill>
        </w:rPr>
        <w:t>并</w:t>
      </w:r>
      <w:r>
        <w:rPr>
          <w:rFonts w:hint="eastAsia" w:ascii="仿宋" w:hAnsi="仿宋" w:eastAsia="仿宋" w:cs="Times New Roman"/>
          <w:color w:val="000000" w:themeColor="text1"/>
          <w:kern w:val="2"/>
          <w:sz w:val="28"/>
          <w:szCs w:val="28"/>
          <w:highlight w:val="none"/>
          <w14:textFill>
            <w14:solidFill>
              <w14:schemeClr w14:val="tx1"/>
            </w14:solidFill>
          </w14:textFill>
        </w:rPr>
        <w:t>审批，下达批复后实施，并进行公示公告。</w:t>
      </w:r>
      <w:r>
        <w:rPr>
          <w:rFonts w:hint="eastAsia" w:cs="Times New Roman"/>
          <w:color w:val="000000" w:themeColor="text1"/>
          <w:kern w:val="2"/>
          <w:sz w:val="28"/>
          <w:szCs w:val="28"/>
          <w:highlight w:val="none"/>
          <w:lang w:val="en-US" w:eastAsia="zh-CN"/>
          <w14:textFill>
            <w14:solidFill>
              <w14:schemeClr w14:val="tx1"/>
            </w14:solidFill>
          </w14:textFill>
        </w:rPr>
        <w:t>县乡村振兴局</w:t>
      </w:r>
      <w:r>
        <w:rPr>
          <w:rFonts w:hint="eastAsia" w:ascii="仿宋" w:hAnsi="仿宋" w:eastAsia="仿宋" w:cs="Times New Roman"/>
          <w:color w:val="000000" w:themeColor="text1"/>
          <w:kern w:val="2"/>
          <w:sz w:val="28"/>
          <w:szCs w:val="28"/>
          <w:highlight w:val="none"/>
          <w14:textFill>
            <w14:solidFill>
              <w14:schemeClr w14:val="tx1"/>
            </w14:solidFill>
          </w14:textFill>
        </w:rPr>
        <w:t>要在上报材料中详细列出年净利润的使用事项和数额。</w:t>
      </w:r>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15.5.2项目资金保障措施</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结合中央和省级财政衔接资金支持范围，统筹协调、查漏补缺，合理安排和使用衔接乡村振兴补助资金，全面落实财政衔接投入保障任务，县级作为衔接资金项目的实施主体，切实履行项目前期工作资金保障职责。</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全面推行公开公示制度。推进政务公开，资金政策文件、管理制度、资金分配结果等信息及时向社会公开，接受社会监督。</w:t>
      </w:r>
      <w:r>
        <w:rPr>
          <w:rFonts w:ascii="仿宋" w:hAnsi="仿宋" w:eastAsia="仿宋" w:cs="Times New Roman"/>
          <w:color w:val="000000" w:themeColor="text1"/>
          <w:kern w:val="2"/>
          <w:sz w:val="28"/>
          <w:szCs w:val="28"/>
          <w:highlight w:val="none"/>
          <w14:textFill>
            <w14:solidFill>
              <w14:schemeClr w14:val="tx1"/>
            </w14:solidFill>
          </w14:textFill>
        </w:rPr>
        <w:t>各级</w:t>
      </w:r>
      <w:r>
        <w:rPr>
          <w:rFonts w:hint="eastAsia" w:cs="Times New Roman"/>
          <w:color w:val="000000" w:themeColor="text1"/>
          <w:kern w:val="2"/>
          <w:sz w:val="28"/>
          <w:szCs w:val="28"/>
          <w:highlight w:val="none"/>
          <w:lang w:val="en-US" w:eastAsia="zh-CN"/>
          <w14:textFill>
            <w14:solidFill>
              <w14:schemeClr w14:val="tx1"/>
            </w14:solidFill>
          </w14:textFill>
        </w:rPr>
        <w:t>项目</w:t>
      </w:r>
      <w:r>
        <w:rPr>
          <w:rFonts w:ascii="仿宋" w:hAnsi="仿宋" w:eastAsia="仿宋" w:cs="Times New Roman"/>
          <w:color w:val="000000" w:themeColor="text1"/>
          <w:kern w:val="2"/>
          <w:sz w:val="28"/>
          <w:szCs w:val="28"/>
          <w:highlight w:val="none"/>
          <w14:textFill>
            <w14:solidFill>
              <w14:schemeClr w14:val="tx1"/>
            </w14:solidFill>
          </w14:textFill>
        </w:rPr>
        <w:t>部门协调配合人大、政协、审计、纪检、监察、检察院等</w:t>
      </w:r>
      <w:r>
        <w:rPr>
          <w:rFonts w:hint="eastAsia" w:ascii="仿宋" w:hAnsi="仿宋" w:eastAsia="仿宋" w:cs="Times New Roman"/>
          <w:color w:val="000000" w:themeColor="text1"/>
          <w:kern w:val="2"/>
          <w:sz w:val="28"/>
          <w:szCs w:val="28"/>
          <w:highlight w:val="none"/>
          <w14:textFill>
            <w14:solidFill>
              <w14:schemeClr w14:val="tx1"/>
            </w14:solidFill>
          </w14:textFill>
        </w:rPr>
        <w:t>部</w:t>
      </w:r>
      <w:r>
        <w:rPr>
          <w:rFonts w:ascii="仿宋" w:hAnsi="仿宋" w:eastAsia="仿宋" w:cs="Times New Roman"/>
          <w:color w:val="000000" w:themeColor="text1"/>
          <w:kern w:val="2"/>
          <w:sz w:val="28"/>
          <w:szCs w:val="28"/>
          <w:highlight w:val="none"/>
          <w14:textFill>
            <w14:solidFill>
              <w14:schemeClr w14:val="tx1"/>
            </w14:solidFill>
          </w14:textFill>
        </w:rPr>
        <w:t>门，不定期开展专项监督检查</w:t>
      </w:r>
      <w:r>
        <w:rPr>
          <w:rFonts w:hint="eastAsia" w:ascii="仿宋" w:hAnsi="仿宋" w:eastAsia="仿宋" w:cs="Times New Roman"/>
          <w:color w:val="000000" w:themeColor="text1"/>
          <w:kern w:val="2"/>
          <w:sz w:val="28"/>
          <w:szCs w:val="28"/>
          <w:highlight w:val="none"/>
          <w14:textFill>
            <w14:solidFill>
              <w14:schemeClr w14:val="tx1"/>
            </w14:solidFill>
          </w14:textFill>
        </w:rPr>
        <w:t>，</w:t>
      </w:r>
      <w:r>
        <w:rPr>
          <w:rFonts w:ascii="仿宋" w:hAnsi="仿宋" w:eastAsia="仿宋" w:cs="Times New Roman"/>
          <w:color w:val="000000" w:themeColor="text1"/>
          <w:kern w:val="2"/>
          <w:sz w:val="28"/>
          <w:szCs w:val="28"/>
          <w:highlight w:val="none"/>
          <w14:textFill>
            <w14:solidFill>
              <w14:schemeClr w14:val="tx1"/>
            </w14:solidFill>
          </w14:textFill>
        </w:rPr>
        <w:t>对每年度使用</w:t>
      </w:r>
      <w:r>
        <w:rPr>
          <w:rFonts w:hint="eastAsia" w:ascii="仿宋" w:hAnsi="仿宋" w:eastAsia="仿宋" w:cs="Times New Roman"/>
          <w:color w:val="000000" w:themeColor="text1"/>
          <w:kern w:val="2"/>
          <w:sz w:val="28"/>
          <w:szCs w:val="28"/>
          <w:highlight w:val="none"/>
          <w14:textFill>
            <w14:solidFill>
              <w14:schemeClr w14:val="tx1"/>
            </w14:solidFill>
          </w14:textFill>
        </w:rPr>
        <w:t>的</w:t>
      </w:r>
      <w:r>
        <w:rPr>
          <w:rFonts w:hint="eastAsia" w:cs="Times New Roman"/>
          <w:color w:val="000000" w:themeColor="text1"/>
          <w:kern w:val="2"/>
          <w:sz w:val="28"/>
          <w:szCs w:val="28"/>
          <w:highlight w:val="none"/>
          <w:lang w:val="en-US" w:eastAsia="zh-CN"/>
          <w14:textFill>
            <w14:solidFill>
              <w14:schemeClr w14:val="tx1"/>
            </w14:solidFill>
          </w14:textFill>
        </w:rPr>
        <w:t>经营收入分配</w:t>
      </w:r>
      <w:r>
        <w:rPr>
          <w:rFonts w:ascii="仿宋" w:hAnsi="仿宋" w:eastAsia="仿宋" w:cs="Times New Roman"/>
          <w:color w:val="000000" w:themeColor="text1"/>
          <w:kern w:val="2"/>
          <w:sz w:val="28"/>
          <w:szCs w:val="28"/>
          <w:highlight w:val="none"/>
          <w14:textFill>
            <w14:solidFill>
              <w14:schemeClr w14:val="tx1"/>
            </w14:solidFill>
          </w14:textFill>
        </w:rPr>
        <w:t>资金</w:t>
      </w:r>
      <w:r>
        <w:rPr>
          <w:rFonts w:hint="eastAsia" w:ascii="仿宋" w:hAnsi="仿宋" w:eastAsia="仿宋" w:cs="Times New Roman"/>
          <w:color w:val="000000" w:themeColor="text1"/>
          <w:kern w:val="2"/>
          <w:sz w:val="28"/>
          <w:szCs w:val="28"/>
          <w:highlight w:val="none"/>
          <w14:textFill>
            <w14:solidFill>
              <w14:schemeClr w14:val="tx1"/>
            </w14:solidFill>
          </w14:textFill>
        </w:rPr>
        <w:t>进</w:t>
      </w:r>
      <w:r>
        <w:rPr>
          <w:rFonts w:ascii="仿宋" w:hAnsi="仿宋" w:eastAsia="仿宋" w:cs="Times New Roman"/>
          <w:color w:val="000000" w:themeColor="text1"/>
          <w:kern w:val="2"/>
          <w:sz w:val="28"/>
          <w:szCs w:val="28"/>
          <w:highlight w:val="none"/>
          <w14:textFill>
            <w14:solidFill>
              <w14:schemeClr w14:val="tx1"/>
            </w14:solidFill>
          </w14:textFill>
        </w:rPr>
        <w:t>行年审，确保</w:t>
      </w:r>
      <w:r>
        <w:rPr>
          <w:rFonts w:hint="eastAsia" w:ascii="仿宋" w:hAnsi="仿宋" w:eastAsia="仿宋" w:cs="Times New Roman"/>
          <w:color w:val="000000" w:themeColor="text1"/>
          <w:kern w:val="2"/>
          <w:sz w:val="28"/>
          <w:szCs w:val="28"/>
          <w:highlight w:val="none"/>
          <w14:textFill>
            <w14:solidFill>
              <w14:schemeClr w14:val="tx1"/>
            </w14:solidFill>
          </w14:textFill>
        </w:rPr>
        <w:t>资金</w:t>
      </w:r>
      <w:r>
        <w:rPr>
          <w:rFonts w:ascii="仿宋" w:hAnsi="仿宋" w:eastAsia="仿宋" w:cs="Times New Roman"/>
          <w:color w:val="000000" w:themeColor="text1"/>
          <w:kern w:val="2"/>
          <w:sz w:val="28"/>
          <w:szCs w:val="28"/>
          <w:highlight w:val="none"/>
          <w14:textFill>
            <w14:solidFill>
              <w14:schemeClr w14:val="tx1"/>
            </w14:solidFill>
          </w14:textFill>
        </w:rPr>
        <w:t>使用</w:t>
      </w:r>
      <w:r>
        <w:rPr>
          <w:rFonts w:hint="eastAsia" w:cs="Times New Roman"/>
          <w:color w:val="000000" w:themeColor="text1"/>
          <w:kern w:val="2"/>
          <w:sz w:val="28"/>
          <w:szCs w:val="28"/>
          <w:highlight w:val="none"/>
          <w:lang w:val="en-US" w:eastAsia="zh-CN"/>
          <w14:textFill>
            <w14:solidFill>
              <w14:schemeClr w14:val="tx1"/>
            </w14:solidFill>
          </w14:textFill>
        </w:rPr>
        <w:t>规范</w:t>
      </w:r>
      <w:r>
        <w:rPr>
          <w:rFonts w:ascii="仿宋" w:hAnsi="仿宋" w:eastAsia="仿宋" w:cs="Times New Roman"/>
          <w:color w:val="000000" w:themeColor="text1"/>
          <w:kern w:val="2"/>
          <w:sz w:val="28"/>
          <w:szCs w:val="28"/>
          <w:highlight w:val="none"/>
          <w14:textFill>
            <w14:solidFill>
              <w14:schemeClr w14:val="tx1"/>
            </w14:solidFill>
          </w14:textFill>
        </w:rPr>
        <w:t>。</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囊谦县对衔接资金项目安排和资金分配情况在项目实施点及同级媒体（或政府网站）进行公示公告接受社会监督。</w:t>
      </w:r>
    </w:p>
    <w:p>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各级财政和行业主管部门及其工作人员在衔接资金分配、使用管理等工作中，存在违反本办法规定，以及滥用职权、玩忽职守、徇私舞弊等违法违纪行为的，按照国家有关规定追究相应责任；涉嫌犯罪的，移送有关国家机关处理。</w:t>
      </w:r>
    </w:p>
    <w:p>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15.5.3项目脱贫巩固与返贫监测保障措施</w:t>
      </w:r>
    </w:p>
    <w:p>
      <w:pPr>
        <w:ind w:firstLine="560"/>
        <w:rPr>
          <w:rFonts w:hint="default"/>
          <w:color w:val="000000" w:themeColor="text1"/>
          <w:highlight w:val="none"/>
          <w:u w:val="none"/>
          <w:lang w:val="en-US" w:eastAsia="zh-CN"/>
          <w14:textFill>
            <w14:solidFill>
              <w14:schemeClr w14:val="tx1"/>
            </w14:solidFill>
          </w14:textFill>
        </w:rPr>
      </w:pPr>
      <w:r>
        <w:rPr>
          <w:rFonts w:hint="default"/>
          <w:color w:val="000000" w:themeColor="text1"/>
          <w:highlight w:val="none"/>
          <w:u w:val="none"/>
          <w:lang w:val="en-US" w:eastAsia="zh-CN"/>
          <w14:textFill>
            <w14:solidFill>
              <w14:schemeClr w14:val="tx1"/>
            </w14:solidFill>
          </w14:textFill>
        </w:rPr>
        <w:t>项目实施过程中，各级各部门应深入学习贯彻习近平总书记关于巩固拓展脱贫攻坚成果同乡村振兴有效衔接的重要论述，进一步对标中央、省委省政府要求，以“钉钉子”精神抓实防止返贫监测与帮扶工作。聚焦巩固成效，重点围绕“三率一度”做好排查整改，对脱贫户开展常态化监测，重点监测脱贫不稳定户、边缘易致贫户并建立监测帮扶机制，实施针对性帮扶措施，及时化解返贫致贫风险。</w:t>
      </w:r>
    </w:p>
    <w:p>
      <w:pPr>
        <w:pStyle w:val="3"/>
        <w:bidi w:val="0"/>
        <w:rPr>
          <w:rFonts w:hint="eastAsia"/>
          <w:b/>
          <w:bCs/>
          <w:color w:val="000000" w:themeColor="text1"/>
          <w:highlight w:val="none"/>
          <w:lang w:val="en-US" w:eastAsia="zh-CN"/>
          <w14:textFill>
            <w14:solidFill>
              <w14:schemeClr w14:val="tx1"/>
            </w14:solidFill>
          </w14:textFill>
        </w:rPr>
      </w:pPr>
      <w:bookmarkStart w:id="395" w:name="_Toc23712"/>
      <w:bookmarkStart w:id="396" w:name="_Toc25879"/>
      <w:bookmarkStart w:id="397" w:name="_Toc20956"/>
      <w:r>
        <w:rPr>
          <w:rFonts w:hint="eastAsia"/>
          <w:b/>
          <w:bCs/>
          <w:color w:val="000000" w:themeColor="text1"/>
          <w:highlight w:val="none"/>
          <w:lang w:val="en-US" w:eastAsia="zh-CN"/>
          <w14:textFill>
            <w14:solidFill>
              <w14:schemeClr w14:val="tx1"/>
            </w14:solidFill>
          </w14:textFill>
        </w:rPr>
        <w:t>15.5项目绩效目标</w:t>
      </w:r>
      <w:bookmarkEnd w:id="395"/>
      <w:bookmarkEnd w:id="396"/>
      <w:bookmarkEnd w:id="397"/>
    </w:p>
    <w:p>
      <w:pPr>
        <w:ind w:firstLine="560"/>
        <w:rPr>
          <w:rFonts w:hint="eastAsia"/>
          <w:color w:val="000000" w:themeColor="text1"/>
          <w:highlight w:val="none"/>
          <w:u w:val="none"/>
          <w14:textFill>
            <w14:solidFill>
              <w14:schemeClr w14:val="tx1"/>
            </w14:solidFill>
          </w14:textFill>
        </w:rPr>
      </w:pPr>
      <w:r>
        <w:rPr>
          <w:rFonts w:hint="eastAsia"/>
          <w:color w:val="000000" w:themeColor="text1"/>
          <w:highlight w:val="none"/>
          <w:u w:val="none"/>
          <w:lang w:val="en-US" w:eastAsia="zh-CN"/>
          <w14:textFill>
            <w14:solidFill>
              <w14:schemeClr w14:val="tx1"/>
            </w14:solidFill>
          </w14:textFill>
        </w:rPr>
        <w:t>根据</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14:textFill>
            <w14:solidFill>
              <w14:schemeClr w14:val="tx1"/>
            </w14:solidFill>
          </w14:textFill>
        </w:rPr>
        <w:t>青海省衔接推进乡村振兴补助资金绩效评价及考核办法</w:t>
      </w:r>
      <w:r>
        <w:rPr>
          <w:rFonts w:hint="eastAsia"/>
          <w:color w:val="000000" w:themeColor="text1"/>
          <w:highlight w:val="none"/>
          <w:u w:val="none"/>
          <w:lang w:eastAsia="zh-CN"/>
          <w14:textFill>
            <w14:solidFill>
              <w14:schemeClr w14:val="tx1"/>
            </w14:solidFill>
          </w14:textFill>
        </w:rPr>
        <w:t>》衔接资金绩效评价及考核（以下简称“绩效评价及考核”）工作以习近平新时代中国特色社会主义思想为指导，全面贯彻落实《中共青海省委</w:t>
      </w:r>
      <w:r>
        <w:rPr>
          <w:rFonts w:hint="eastAsia"/>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u w:val="none"/>
          <w:lang w:eastAsia="zh-CN"/>
          <w14:textFill>
            <w14:solidFill>
              <w14:schemeClr w14:val="tx1"/>
            </w14:solidFill>
          </w14:textFill>
        </w:rPr>
        <w:t>青海省人民政府印发</w:t>
      </w:r>
      <w:r>
        <w:rPr>
          <w:rFonts w:hint="eastAsia"/>
          <w:color w:val="000000" w:themeColor="text1"/>
          <w:highlight w:val="none"/>
          <w:u w:val="none"/>
          <w:lang w:val="en-US" w:eastAsia="zh-CN"/>
          <w14:textFill>
            <w14:solidFill>
              <w14:schemeClr w14:val="tx1"/>
            </w14:solidFill>
          </w14:textFill>
        </w:rPr>
        <w:t>&lt;</w:t>
      </w:r>
      <w:r>
        <w:rPr>
          <w:rFonts w:hint="eastAsia"/>
          <w:color w:val="000000" w:themeColor="text1"/>
          <w:highlight w:val="none"/>
          <w:u w:val="none"/>
          <w:lang w:eastAsia="zh-CN"/>
          <w14:textFill>
            <w14:solidFill>
              <w14:schemeClr w14:val="tx1"/>
            </w14:solidFill>
          </w14:textFill>
        </w:rPr>
        <w:t>关于实现巩固拓展脱贫攻坚成果同乡村振兴有效衔接的实施意见</w:t>
      </w:r>
      <w:r>
        <w:rPr>
          <w:rFonts w:hint="eastAsia"/>
          <w:color w:val="000000" w:themeColor="text1"/>
          <w:highlight w:val="none"/>
          <w:u w:val="none"/>
          <w:lang w:val="en-US" w:eastAsia="zh-CN"/>
          <w14:textFill>
            <w14:solidFill>
              <w14:schemeClr w14:val="tx1"/>
            </w14:solidFill>
          </w14:textFill>
        </w:rPr>
        <w:t>&gt;</w:t>
      </w:r>
      <w:r>
        <w:rPr>
          <w:rFonts w:hint="eastAsia"/>
          <w:color w:val="000000" w:themeColor="text1"/>
          <w:highlight w:val="none"/>
          <w:u w:val="none"/>
          <w:lang w:eastAsia="zh-CN"/>
          <w14:textFill>
            <w14:solidFill>
              <w14:schemeClr w14:val="tx1"/>
            </w14:solidFill>
          </w14:textFill>
        </w:rPr>
        <w:t>的通知》（青发〔</w:t>
      </w:r>
      <w:r>
        <w:rPr>
          <w:rFonts w:hint="eastAsia"/>
          <w:color w:val="000000" w:themeColor="text1"/>
          <w:highlight w:val="none"/>
          <w:u w:val="none"/>
          <w:lang w:val="en-US" w:eastAsia="zh-CN"/>
          <w14:textFill>
            <w14:solidFill>
              <w14:schemeClr w14:val="tx1"/>
            </w14:solidFill>
          </w14:textFill>
        </w:rPr>
        <w:t>2021</w:t>
      </w:r>
      <w:r>
        <w:rPr>
          <w:rFonts w:hint="eastAsia"/>
          <w:color w:val="000000" w:themeColor="text1"/>
          <w:highlight w:val="none"/>
          <w:u w:val="none"/>
          <w:lang w:eastAsia="zh-CN"/>
          <w14:textFill>
            <w14:solidFill>
              <w14:schemeClr w14:val="tx1"/>
            </w14:solidFill>
          </w14:textFill>
        </w:rPr>
        <w:t>〕</w:t>
      </w:r>
      <w:r>
        <w:rPr>
          <w:rFonts w:hint="eastAsia"/>
          <w:color w:val="000000" w:themeColor="text1"/>
          <w:highlight w:val="none"/>
          <w:u w:val="none"/>
          <w:lang w:val="en-US" w:eastAsia="zh-CN"/>
          <w14:textFill>
            <w14:solidFill>
              <w14:schemeClr w14:val="tx1"/>
            </w14:solidFill>
          </w14:textFill>
        </w:rPr>
        <w:t>13</w:t>
      </w:r>
      <w:r>
        <w:rPr>
          <w:rFonts w:hint="eastAsia"/>
          <w:color w:val="000000" w:themeColor="text1"/>
          <w:highlight w:val="none"/>
          <w:u w:val="none"/>
          <w:lang w:eastAsia="zh-CN"/>
          <w14:textFill>
            <w14:solidFill>
              <w14:schemeClr w14:val="tx1"/>
            </w14:solidFill>
          </w14:textFill>
        </w:rPr>
        <w:t>号），运用规范的绩效指标体系，对县级管理使用衔接资金过程及其效果进行综合性考核与评价。</w:t>
      </w:r>
    </w:p>
    <w:p>
      <w:pPr>
        <w:ind w:firstLine="560"/>
        <w:rPr>
          <w:rFonts w:hint="eastAsia"/>
          <w:color w:val="000000" w:themeColor="text1"/>
          <w:highlight w:val="none"/>
          <w:u w:val="none"/>
          <w:lang w:eastAsia="zh-CN"/>
          <w14:textFill>
            <w14:solidFill>
              <w14:schemeClr w14:val="tx1"/>
            </w14:solidFill>
          </w14:textFill>
        </w:rPr>
      </w:pPr>
      <w:r>
        <w:rPr>
          <w:rFonts w:hint="eastAsia"/>
          <w:color w:val="000000" w:themeColor="text1"/>
          <w:highlight w:val="none"/>
          <w:u w:val="none"/>
          <w14:textFill>
            <w14:solidFill>
              <w14:schemeClr w14:val="tx1"/>
            </w14:solidFill>
          </w14:textFill>
        </w:rPr>
        <w:t>绩效评价及考核的主要内容包括资金保障、项目管理和使用成效等方面</w:t>
      </w:r>
      <w:r>
        <w:rPr>
          <w:rFonts w:hint="eastAsia"/>
          <w:color w:val="000000" w:themeColor="text1"/>
          <w:highlight w:val="none"/>
          <w:u w:val="none"/>
          <w:lang w:eastAsia="zh-CN"/>
          <w14:textFill>
            <w14:solidFill>
              <w14:schemeClr w14:val="tx1"/>
            </w14:solidFill>
          </w14:textFill>
        </w:rPr>
        <w:t>。县级资金使用管理部门和财政部门负责做好衔接资金项目绩效管理工作，合理确定项目绩效目标及指标，作为绩效执行监控和具体项目绩效评价的依据。</w:t>
      </w:r>
    </w:p>
    <w:p>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项目完成后，囊谦县乡村振兴项目领导小组，发挥考核“指挥棒”作用，将试点工作列入各地区、各部门年度乡村振兴工作目标考核，按照各级签订的目标责任书的有关规定，对项目资金按照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青海省衔接推进乡村振兴补助资金绩效评价及考核办法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绩效目标进行管理和考评，对工作突出的相关部门和工作人员进行表彰奖励，并适量增加下一年度的项目实施及项目支持力度；对推动试点工作不力，搞形式主义、官僚主义的，要依规依纪依法追究相关部门和有关人员的责任，并严肃追究主要领导和分管领导的责任，同时核减下年度实施的项目等。</w:t>
      </w:r>
    </w:p>
    <w:sectPr>
      <w:pgSz w:w="11850" w:h="16783"/>
      <w:pgMar w:top="1440" w:right="1797" w:bottom="1440" w:left="1559" w:header="851" w:footer="992" w:gutter="0"/>
      <w:pgBorders w:offsetFrom="page">
        <w:top w:val="none" w:sz="0" w:space="0"/>
        <w:left w:val="none" w:sz="0" w:space="0"/>
        <w:bottom w:val="none" w:sz="0" w:space="0"/>
        <w:right w:val="none" w:sz="0" w:space="0"/>
      </w:pgBorders>
      <w:pgNumType w:fmt="decimal"/>
      <w:cols w:space="0" w:num="1"/>
      <w:rtlGutter w:val="0"/>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Lucida Console">
    <w:panose1 w:val="020B0609040504020204"/>
    <w:charset w:val="00"/>
    <w:family w:val="modern"/>
    <w:pitch w:val="default"/>
    <w:sig w:usb0="8000028F" w:usb1="00001800" w:usb2="00000000" w:usb3="00000000" w:csb0="0000001F" w:csb1="D7D70000"/>
  </w:font>
  <w:font w:name="Adobe 仿宋 Std R">
    <w:altName w:val="仿宋"/>
    <w:panose1 w:val="02020400000000000000"/>
    <w:charset w:val="86"/>
    <w:family w:val="roman"/>
    <w:pitch w:val="default"/>
    <w:sig w:usb0="00000000" w:usb1="00000000" w:usb2="00000016" w:usb3="00000000" w:csb0="00060007"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tabs>
        <w:tab w:val="left" w:pos="6360"/>
        <w:tab w:val="clear" w:pos="4153"/>
        <w:tab w:val="clear" w:pos="8306"/>
      </w:tabs>
      <w:wordWrap w:val="0"/>
      <w:ind w:firstLine="360"/>
      <w:jc w:val="right"/>
      <w:rPr>
        <w:szCs w:val="1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135255</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ind w:firstLine="360"/>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10.65pt;height:144pt;width:144pt;mso-position-horizontal:center;mso-position-horizontal-relative:margin;mso-wrap-style:none;z-index:251660288;mso-width-relative:page;mso-height-relative:page;" filled="f" stroked="f" coordsize="21600,21600" o:gfxdata="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FuhX1AAAAAcBAAAPAAAAAAAAAAEAIAAAACIAAABkcnMvZG93bnJldi54&#10;bWxQSwECFAAUAAAACACHTuJA5wstCzcCAABvBAAADgAAAAAAAAABACAAAAAjAQAAZHJzL2Uyb0Rv&#10;Yy54bWxQSwUGAAAAAAYABgBZAQAAzAUAAAAA&#10;">
              <v:fill on="f" focussize="0,0"/>
              <v:stroke on="f" weight="0.5pt"/>
              <v:imagedata o:title=""/>
              <o:lock v:ext="edit" aspectratio="f"/>
              <v:textbox inset="0mm,0mm,0mm,0mm" style="mso-fit-shape-to-text:t;">
                <w:txbxContent>
                  <w:p>
                    <w:pPr>
                      <w:pStyle w:val="25"/>
                      <w:ind w:firstLine="360"/>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szCs w:val="18"/>
      </w:rPr>
      <w:t>青海创鑫工程咨询股份有限公司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tabs>
        <w:tab w:val="left" w:pos="6360"/>
        <w:tab w:val="clear" w:pos="4153"/>
        <w:tab w:val="clear" w:pos="8306"/>
      </w:tabs>
      <w:wordWrap w:val="0"/>
      <w:ind w:firstLine="360"/>
      <w:jc w:val="right"/>
      <w:rPr>
        <w:szCs w:val="18"/>
      </w:rPr>
    </w:pPr>
    <w:r>
      <mc:AlternateContent>
        <mc:Choice Requires="wps">
          <w:drawing>
            <wp:anchor distT="0" distB="0" distL="114300" distR="114300" simplePos="0" relativeHeight="251661312" behindDoc="0" locked="0" layoutInCell="1" allowOverlap="1">
              <wp:simplePos x="0" y="0"/>
              <wp:positionH relativeFrom="margin">
                <wp:posOffset>2430145</wp:posOffset>
              </wp:positionH>
              <wp:positionV relativeFrom="paragraph">
                <wp:posOffset>135255</wp:posOffset>
              </wp:positionV>
              <wp:extent cx="79629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796290" cy="1828800"/>
                      </a:xfrm>
                      <a:prstGeom prst="rect">
                        <a:avLst/>
                      </a:prstGeom>
                      <a:noFill/>
                      <a:ln w="6350">
                        <a:noFill/>
                      </a:ln>
                      <a:effectLst/>
                    </wps:spPr>
                    <wps:txbx>
                      <w:txbxContent>
                        <w:p>
                          <w:pPr>
                            <w:pStyle w:val="25"/>
                            <w:ind w:firstLine="360"/>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left:191.35pt;margin-top:10.65pt;height:144pt;width:62.7pt;mso-position-horizontal-relative:margin;z-index:251661312;mso-width-relative:page;mso-height-relative:page;" filled="f" stroked="f" coordsize="21600,21600" o:gfxdata="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&#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Aiox2AAAAAoBAAAPAAAAAAAAAAEAIAAAACIAAABk&#10;cnMvZG93bnJldi54bWxQSwECFAAUAAAACACHTuJAJ2uRkj8CAABwBAAADgAAAAAAAAABACAAAAAn&#10;AQAAZHJzL2Uyb0RvYy54bWxQSwUGAAAAAAYABgBZAQAA2AUAAAAA&#10;">
              <v:fill on="f" focussize="0,0"/>
              <v:stroke on="f" weight="0.5pt"/>
              <v:imagedata o:title=""/>
              <o:lock v:ext="edit" aspectratio="f"/>
              <v:textbox inset="0mm,0mm,0mm,0mm" style="mso-fit-shape-to-text:t;">
                <w:txbxContent>
                  <w:p>
                    <w:pPr>
                      <w:pStyle w:val="25"/>
                      <w:ind w:firstLine="360"/>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r>
                      <w:rPr>
                        <w:rFonts w:hint="eastAsia"/>
                        <w:lang w:eastAsia="zh-CN"/>
                      </w:rPr>
                      <w:t xml:space="preserve"> 页</w:t>
                    </w:r>
                  </w:p>
                </w:txbxContent>
              </v:textbox>
            </v:shape>
          </w:pict>
        </mc:Fallback>
      </mc:AlternateContent>
    </w:r>
    <w:r>
      <w:rPr>
        <w:rFonts w:hint="eastAsia"/>
        <w:szCs w:val="18"/>
        <w:lang w:eastAsia="zh-CN"/>
      </w:rPr>
      <w:t>青海</w:t>
    </w:r>
    <w:r>
      <w:rPr>
        <w:rFonts w:hint="eastAsia"/>
        <w:szCs w:val="18"/>
      </w:rPr>
      <w:t>创鑫工程咨询股份有限公司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000000" w:sz="4" w:space="1"/>
        <w:left w:val="none" w:color="auto" w:sz="0" w:space="0"/>
        <w:bottom w:val="none" w:color="auto" w:sz="0" w:space="0"/>
        <w:right w:val="none" w:color="auto" w:sz="0" w:space="0"/>
        <w:between w:val="none" w:color="auto" w:sz="0" w:space="0"/>
      </w:pBdr>
      <w:tabs>
        <w:tab w:val="left" w:pos="6360"/>
        <w:tab w:val="clear" w:pos="4153"/>
        <w:tab w:val="clear" w:pos="8306"/>
      </w:tabs>
      <w:wordWrap w:val="0"/>
      <w:ind w:firstLine="360"/>
      <w:jc w:val="right"/>
      <w:rPr>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175895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LXXIV</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3.85pt;height:144pt;width:144pt;mso-position-horizontal:center;mso-position-horizontal-relative:margin;mso-wrap-style:none;z-index:251659264;mso-width-relative:page;mso-height-relative:page;" filled="f" stroked="f" coordsize="21600,21600" o:gfxdata="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fz7wfVAAAABwEAAA8AAAAAAAAAAQAgAAAAIgAAAGRycy9kb3ducmV2LnhtbFBL&#10;AQIUABQAAAAIAIdO4kDAwKV+MgIAAGMEAAAOAAAAAAAAAAEAIAAAACQBAABkcnMvZTJvRG9jLnht&#10;bFBLBQYAAAAABgAGAFkBAADIBQAAAAA=&#10;">
              <v:fill on="f" focussize="0,0"/>
              <v:stroke on="f" weight="0.5pt"/>
              <v:imagedata o:title=""/>
              <o:lock v:ext="edit" aspectratio="f"/>
              <v:textbox inset="0mm,0mm,0mm,0mm" style="mso-fit-shape-to-text:t;">
                <w:txbxContent>
                  <w:p>
                    <w:pPr>
                      <w:pStyle w:val="25"/>
                      <w:rPr>
                        <w:rFonts w:hint="eastAsia" w:eastAsia="仿宋"/>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LXXIV</w:t>
                    </w:r>
                    <w:r>
                      <w:rPr>
                        <w:rFonts w:hint="eastAsia"/>
                        <w:lang w:eastAsia="zh-CN"/>
                      </w:rPr>
                      <w:fldChar w:fldCharType="end"/>
                    </w:r>
                    <w:r>
                      <w:rPr>
                        <w:rFonts w:hint="eastAsia"/>
                        <w:lang w:eastAsia="zh-CN"/>
                      </w:rPr>
                      <w:t xml:space="preserve"> 页</w:t>
                    </w:r>
                  </w:p>
                </w:txbxContent>
              </v:textbox>
            </v:shape>
          </w:pict>
        </mc:Fallback>
      </mc:AlternateContent>
    </w:r>
    <w:r>
      <w:rPr>
        <w:rFonts w:hint="eastAsia"/>
        <w:szCs w:val="18"/>
        <w:lang w:eastAsia="zh-CN"/>
      </w:rPr>
      <w:t>青海</w:t>
    </w:r>
    <w:r>
      <w:rPr>
        <w:rFonts w:hint="eastAsia"/>
        <w:szCs w:val="18"/>
      </w:rPr>
      <w:t>创鑫工程咨询股份有限公司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1"/>
      </w:pBdr>
      <w:spacing w:line="240" w:lineRule="auto"/>
      <w:ind w:firstLine="360"/>
      <w:jc w:val="right"/>
    </w:pPr>
    <w:r>
      <w:rPr>
        <w:rFonts w:hint="eastAsia"/>
        <w:color w:val="auto"/>
        <w:szCs w:val="28"/>
        <w:highlight w:val="none"/>
        <w:lang w:val="zh-CN"/>
      </w:rPr>
      <w:t>囊谦县黑青稞</w:t>
    </w:r>
    <w:r>
      <w:rPr>
        <w:rFonts w:hint="eastAsia"/>
        <w:color w:val="auto"/>
        <w:szCs w:val="28"/>
        <w:highlight w:val="none"/>
        <w:lang w:val="en-US" w:eastAsia="zh-CN"/>
      </w:rPr>
      <w:t>啤酒</w:t>
    </w:r>
    <w:r>
      <w:rPr>
        <w:rFonts w:hint="eastAsia"/>
        <w:color w:val="auto"/>
        <w:szCs w:val="28"/>
        <w:highlight w:val="none"/>
        <w:lang w:val="zh-CN"/>
      </w:rPr>
      <w:t>生产线引进采购安装项目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96B75"/>
    <w:multiLevelType w:val="singleLevel"/>
    <w:tmpl w:val="A5696B75"/>
    <w:lvl w:ilvl="0" w:tentative="0">
      <w:start w:val="3"/>
      <w:numFmt w:val="decimal"/>
      <w:suff w:val="space"/>
      <w:lvlText w:val="第%1章"/>
      <w:lvlJc w:val="left"/>
    </w:lvl>
  </w:abstractNum>
  <w:abstractNum w:abstractNumId="1">
    <w:nsid w:val="B6F66824"/>
    <w:multiLevelType w:val="singleLevel"/>
    <w:tmpl w:val="B6F66824"/>
    <w:lvl w:ilvl="0" w:tentative="0">
      <w:start w:val="6"/>
      <w:numFmt w:val="decimal"/>
      <w:suff w:val="space"/>
      <w:lvlText w:val="第%1章"/>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80"/>
  <w:drawingGridVerticalSpacing w:val="163"/>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5YWQ4YWZhNzAyZjM2ZDhmNDc1MTdmMzIzYTk3YTcifQ=="/>
  </w:docVars>
  <w:rsids>
    <w:rsidRoot w:val="00172A27"/>
    <w:rsid w:val="00000717"/>
    <w:rsid w:val="00000770"/>
    <w:rsid w:val="0000156E"/>
    <w:rsid w:val="0000185F"/>
    <w:rsid w:val="000020D6"/>
    <w:rsid w:val="00002140"/>
    <w:rsid w:val="00002B9A"/>
    <w:rsid w:val="000039DF"/>
    <w:rsid w:val="00003CE4"/>
    <w:rsid w:val="00004339"/>
    <w:rsid w:val="00004982"/>
    <w:rsid w:val="000051B3"/>
    <w:rsid w:val="0000616A"/>
    <w:rsid w:val="00006CB4"/>
    <w:rsid w:val="00010219"/>
    <w:rsid w:val="00010B14"/>
    <w:rsid w:val="000117A3"/>
    <w:rsid w:val="0001193A"/>
    <w:rsid w:val="0001220F"/>
    <w:rsid w:val="00012372"/>
    <w:rsid w:val="0001238C"/>
    <w:rsid w:val="00012491"/>
    <w:rsid w:val="00012FF8"/>
    <w:rsid w:val="00013960"/>
    <w:rsid w:val="0001441D"/>
    <w:rsid w:val="00014AA3"/>
    <w:rsid w:val="00014ACA"/>
    <w:rsid w:val="00014ADC"/>
    <w:rsid w:val="00014C96"/>
    <w:rsid w:val="00014EC5"/>
    <w:rsid w:val="00014F3F"/>
    <w:rsid w:val="00014FCD"/>
    <w:rsid w:val="000153C0"/>
    <w:rsid w:val="000157A9"/>
    <w:rsid w:val="0001592A"/>
    <w:rsid w:val="00015C9E"/>
    <w:rsid w:val="0001668F"/>
    <w:rsid w:val="00016E0D"/>
    <w:rsid w:val="00017838"/>
    <w:rsid w:val="00017BA1"/>
    <w:rsid w:val="00020678"/>
    <w:rsid w:val="00020A2B"/>
    <w:rsid w:val="00021832"/>
    <w:rsid w:val="000225A8"/>
    <w:rsid w:val="00022B3B"/>
    <w:rsid w:val="00022B93"/>
    <w:rsid w:val="000230F2"/>
    <w:rsid w:val="00023131"/>
    <w:rsid w:val="00023A94"/>
    <w:rsid w:val="00023B2E"/>
    <w:rsid w:val="0002476C"/>
    <w:rsid w:val="00026087"/>
    <w:rsid w:val="000268CF"/>
    <w:rsid w:val="00026D05"/>
    <w:rsid w:val="00027734"/>
    <w:rsid w:val="00030115"/>
    <w:rsid w:val="0003023B"/>
    <w:rsid w:val="00030702"/>
    <w:rsid w:val="000315DC"/>
    <w:rsid w:val="00031DA4"/>
    <w:rsid w:val="0003206F"/>
    <w:rsid w:val="000323A2"/>
    <w:rsid w:val="00032533"/>
    <w:rsid w:val="000326F6"/>
    <w:rsid w:val="00032E77"/>
    <w:rsid w:val="00032FFB"/>
    <w:rsid w:val="00033958"/>
    <w:rsid w:val="000339F5"/>
    <w:rsid w:val="00033E13"/>
    <w:rsid w:val="0003405D"/>
    <w:rsid w:val="00034931"/>
    <w:rsid w:val="0003497C"/>
    <w:rsid w:val="00036254"/>
    <w:rsid w:val="00036AEC"/>
    <w:rsid w:val="000374B0"/>
    <w:rsid w:val="000408D7"/>
    <w:rsid w:val="00040DBD"/>
    <w:rsid w:val="0004299A"/>
    <w:rsid w:val="00042EEB"/>
    <w:rsid w:val="0004320E"/>
    <w:rsid w:val="00043428"/>
    <w:rsid w:val="000443E8"/>
    <w:rsid w:val="000455AE"/>
    <w:rsid w:val="00045642"/>
    <w:rsid w:val="00045A90"/>
    <w:rsid w:val="00045AC4"/>
    <w:rsid w:val="00045AC5"/>
    <w:rsid w:val="000463F2"/>
    <w:rsid w:val="00046D66"/>
    <w:rsid w:val="000470B8"/>
    <w:rsid w:val="000475E8"/>
    <w:rsid w:val="000478DD"/>
    <w:rsid w:val="000500D2"/>
    <w:rsid w:val="00050D92"/>
    <w:rsid w:val="00052356"/>
    <w:rsid w:val="000523F5"/>
    <w:rsid w:val="000527CA"/>
    <w:rsid w:val="00052C08"/>
    <w:rsid w:val="00052D89"/>
    <w:rsid w:val="00053142"/>
    <w:rsid w:val="0005315F"/>
    <w:rsid w:val="000537B8"/>
    <w:rsid w:val="00054304"/>
    <w:rsid w:val="00054724"/>
    <w:rsid w:val="00054CBB"/>
    <w:rsid w:val="00054D0E"/>
    <w:rsid w:val="00055736"/>
    <w:rsid w:val="00055A9C"/>
    <w:rsid w:val="00055C71"/>
    <w:rsid w:val="00056898"/>
    <w:rsid w:val="00057CD8"/>
    <w:rsid w:val="0006202F"/>
    <w:rsid w:val="0006233F"/>
    <w:rsid w:val="00062371"/>
    <w:rsid w:val="00063926"/>
    <w:rsid w:val="00063983"/>
    <w:rsid w:val="00063DD8"/>
    <w:rsid w:val="0006434B"/>
    <w:rsid w:val="00064F9F"/>
    <w:rsid w:val="0006580D"/>
    <w:rsid w:val="000658C7"/>
    <w:rsid w:val="000660D6"/>
    <w:rsid w:val="00066235"/>
    <w:rsid w:val="00067449"/>
    <w:rsid w:val="0006797D"/>
    <w:rsid w:val="00067F6E"/>
    <w:rsid w:val="00070C92"/>
    <w:rsid w:val="00070DC7"/>
    <w:rsid w:val="0007393B"/>
    <w:rsid w:val="00073FA1"/>
    <w:rsid w:val="0007442F"/>
    <w:rsid w:val="00074966"/>
    <w:rsid w:val="000777B9"/>
    <w:rsid w:val="0008002E"/>
    <w:rsid w:val="000800B1"/>
    <w:rsid w:val="00080106"/>
    <w:rsid w:val="00080DC5"/>
    <w:rsid w:val="00080F34"/>
    <w:rsid w:val="00080F96"/>
    <w:rsid w:val="00081078"/>
    <w:rsid w:val="00081390"/>
    <w:rsid w:val="00081A6C"/>
    <w:rsid w:val="00081A85"/>
    <w:rsid w:val="0008214E"/>
    <w:rsid w:val="000822F0"/>
    <w:rsid w:val="00082782"/>
    <w:rsid w:val="00082DDD"/>
    <w:rsid w:val="00084CA5"/>
    <w:rsid w:val="0008559D"/>
    <w:rsid w:val="0008588F"/>
    <w:rsid w:val="00085B3F"/>
    <w:rsid w:val="00085C23"/>
    <w:rsid w:val="00085D0F"/>
    <w:rsid w:val="00086360"/>
    <w:rsid w:val="00086BC4"/>
    <w:rsid w:val="00086D57"/>
    <w:rsid w:val="0008775D"/>
    <w:rsid w:val="00090B60"/>
    <w:rsid w:val="00090DC7"/>
    <w:rsid w:val="00093A3B"/>
    <w:rsid w:val="000949BF"/>
    <w:rsid w:val="00094CA5"/>
    <w:rsid w:val="000953A9"/>
    <w:rsid w:val="00095877"/>
    <w:rsid w:val="00095EBE"/>
    <w:rsid w:val="00096FAE"/>
    <w:rsid w:val="00097735"/>
    <w:rsid w:val="000977AA"/>
    <w:rsid w:val="00097A23"/>
    <w:rsid w:val="000A08CB"/>
    <w:rsid w:val="000A1113"/>
    <w:rsid w:val="000A1AEE"/>
    <w:rsid w:val="000A2702"/>
    <w:rsid w:val="000A27A2"/>
    <w:rsid w:val="000A3321"/>
    <w:rsid w:val="000A3356"/>
    <w:rsid w:val="000A3886"/>
    <w:rsid w:val="000A39C3"/>
    <w:rsid w:val="000A3C24"/>
    <w:rsid w:val="000A3EFF"/>
    <w:rsid w:val="000A4CC0"/>
    <w:rsid w:val="000A5780"/>
    <w:rsid w:val="000A5C84"/>
    <w:rsid w:val="000A6C64"/>
    <w:rsid w:val="000A7297"/>
    <w:rsid w:val="000B0357"/>
    <w:rsid w:val="000B035A"/>
    <w:rsid w:val="000B06C3"/>
    <w:rsid w:val="000B0EAC"/>
    <w:rsid w:val="000B22DA"/>
    <w:rsid w:val="000B233C"/>
    <w:rsid w:val="000B280F"/>
    <w:rsid w:val="000B2A2B"/>
    <w:rsid w:val="000B2B28"/>
    <w:rsid w:val="000B3269"/>
    <w:rsid w:val="000B32C7"/>
    <w:rsid w:val="000B397F"/>
    <w:rsid w:val="000B3AD0"/>
    <w:rsid w:val="000B4B4F"/>
    <w:rsid w:val="000B5174"/>
    <w:rsid w:val="000B572D"/>
    <w:rsid w:val="000B61A2"/>
    <w:rsid w:val="000B70D2"/>
    <w:rsid w:val="000B737F"/>
    <w:rsid w:val="000B7E58"/>
    <w:rsid w:val="000C0494"/>
    <w:rsid w:val="000C169B"/>
    <w:rsid w:val="000C1DDB"/>
    <w:rsid w:val="000C2450"/>
    <w:rsid w:val="000C293A"/>
    <w:rsid w:val="000C3F46"/>
    <w:rsid w:val="000C40A0"/>
    <w:rsid w:val="000C40E3"/>
    <w:rsid w:val="000C46D5"/>
    <w:rsid w:val="000C5E75"/>
    <w:rsid w:val="000C646F"/>
    <w:rsid w:val="000C6921"/>
    <w:rsid w:val="000C6B79"/>
    <w:rsid w:val="000C6E51"/>
    <w:rsid w:val="000C720E"/>
    <w:rsid w:val="000C72D9"/>
    <w:rsid w:val="000C7507"/>
    <w:rsid w:val="000C7B0A"/>
    <w:rsid w:val="000C7D8D"/>
    <w:rsid w:val="000D0007"/>
    <w:rsid w:val="000D0983"/>
    <w:rsid w:val="000D0D75"/>
    <w:rsid w:val="000D1CE1"/>
    <w:rsid w:val="000D2002"/>
    <w:rsid w:val="000D2470"/>
    <w:rsid w:val="000D2528"/>
    <w:rsid w:val="000D2766"/>
    <w:rsid w:val="000D27FA"/>
    <w:rsid w:val="000D296E"/>
    <w:rsid w:val="000D3A85"/>
    <w:rsid w:val="000D45ED"/>
    <w:rsid w:val="000D50C6"/>
    <w:rsid w:val="000D5796"/>
    <w:rsid w:val="000D6266"/>
    <w:rsid w:val="000D7034"/>
    <w:rsid w:val="000E0BA9"/>
    <w:rsid w:val="000E0BAC"/>
    <w:rsid w:val="000E1964"/>
    <w:rsid w:val="000E1E78"/>
    <w:rsid w:val="000E222F"/>
    <w:rsid w:val="000E2754"/>
    <w:rsid w:val="000E35B4"/>
    <w:rsid w:val="000E3793"/>
    <w:rsid w:val="000E4A28"/>
    <w:rsid w:val="000E4F64"/>
    <w:rsid w:val="000E524D"/>
    <w:rsid w:val="000E675D"/>
    <w:rsid w:val="000E6BE3"/>
    <w:rsid w:val="000E7BC5"/>
    <w:rsid w:val="000E7EBC"/>
    <w:rsid w:val="000F0C10"/>
    <w:rsid w:val="000F0D0B"/>
    <w:rsid w:val="000F1A5C"/>
    <w:rsid w:val="000F1D0B"/>
    <w:rsid w:val="000F28BE"/>
    <w:rsid w:val="000F378F"/>
    <w:rsid w:val="000F4853"/>
    <w:rsid w:val="000F4B23"/>
    <w:rsid w:val="000F502A"/>
    <w:rsid w:val="000F551A"/>
    <w:rsid w:val="000F6715"/>
    <w:rsid w:val="000F67B5"/>
    <w:rsid w:val="000F713E"/>
    <w:rsid w:val="001007F6"/>
    <w:rsid w:val="00101F34"/>
    <w:rsid w:val="0010211A"/>
    <w:rsid w:val="00102147"/>
    <w:rsid w:val="0010266D"/>
    <w:rsid w:val="001036CE"/>
    <w:rsid w:val="00103847"/>
    <w:rsid w:val="00103E31"/>
    <w:rsid w:val="00103FDD"/>
    <w:rsid w:val="001051FC"/>
    <w:rsid w:val="001053B4"/>
    <w:rsid w:val="001057E9"/>
    <w:rsid w:val="00106BF2"/>
    <w:rsid w:val="001075FD"/>
    <w:rsid w:val="001077CC"/>
    <w:rsid w:val="001078CC"/>
    <w:rsid w:val="00107B07"/>
    <w:rsid w:val="00107BBF"/>
    <w:rsid w:val="00110966"/>
    <w:rsid w:val="001117C7"/>
    <w:rsid w:val="00111B6F"/>
    <w:rsid w:val="00111C18"/>
    <w:rsid w:val="00111D89"/>
    <w:rsid w:val="00112769"/>
    <w:rsid w:val="00113154"/>
    <w:rsid w:val="00113288"/>
    <w:rsid w:val="001142A5"/>
    <w:rsid w:val="00114BB2"/>
    <w:rsid w:val="00114FC9"/>
    <w:rsid w:val="00115443"/>
    <w:rsid w:val="00115D99"/>
    <w:rsid w:val="001162D9"/>
    <w:rsid w:val="0011667B"/>
    <w:rsid w:val="00116E51"/>
    <w:rsid w:val="00117560"/>
    <w:rsid w:val="00117D2C"/>
    <w:rsid w:val="00117E78"/>
    <w:rsid w:val="00120572"/>
    <w:rsid w:val="001207A2"/>
    <w:rsid w:val="00121298"/>
    <w:rsid w:val="001216D6"/>
    <w:rsid w:val="0012257F"/>
    <w:rsid w:val="001225EF"/>
    <w:rsid w:val="00122D5E"/>
    <w:rsid w:val="001233DC"/>
    <w:rsid w:val="001234F2"/>
    <w:rsid w:val="001236C6"/>
    <w:rsid w:val="00123B00"/>
    <w:rsid w:val="00123D1B"/>
    <w:rsid w:val="00124CC0"/>
    <w:rsid w:val="00125544"/>
    <w:rsid w:val="00125ED7"/>
    <w:rsid w:val="0012625A"/>
    <w:rsid w:val="0012662F"/>
    <w:rsid w:val="00126DF7"/>
    <w:rsid w:val="00127583"/>
    <w:rsid w:val="00127D7C"/>
    <w:rsid w:val="00127E95"/>
    <w:rsid w:val="001307D0"/>
    <w:rsid w:val="0013082C"/>
    <w:rsid w:val="001319FB"/>
    <w:rsid w:val="001329A4"/>
    <w:rsid w:val="00132D40"/>
    <w:rsid w:val="00133023"/>
    <w:rsid w:val="001342F9"/>
    <w:rsid w:val="001345C4"/>
    <w:rsid w:val="001349DB"/>
    <w:rsid w:val="0013585B"/>
    <w:rsid w:val="00135D68"/>
    <w:rsid w:val="0013673D"/>
    <w:rsid w:val="00136DF7"/>
    <w:rsid w:val="00136FF7"/>
    <w:rsid w:val="00140127"/>
    <w:rsid w:val="00140145"/>
    <w:rsid w:val="001406C6"/>
    <w:rsid w:val="00140DA3"/>
    <w:rsid w:val="0014189E"/>
    <w:rsid w:val="0014238C"/>
    <w:rsid w:val="001424A1"/>
    <w:rsid w:val="00142E0A"/>
    <w:rsid w:val="00142F8E"/>
    <w:rsid w:val="00142FC8"/>
    <w:rsid w:val="00143A3B"/>
    <w:rsid w:val="001444CF"/>
    <w:rsid w:val="001447BC"/>
    <w:rsid w:val="00145A78"/>
    <w:rsid w:val="00146451"/>
    <w:rsid w:val="00147E3C"/>
    <w:rsid w:val="00150036"/>
    <w:rsid w:val="001501A9"/>
    <w:rsid w:val="00150727"/>
    <w:rsid w:val="0015077F"/>
    <w:rsid w:val="001512EC"/>
    <w:rsid w:val="00152025"/>
    <w:rsid w:val="00152332"/>
    <w:rsid w:val="001528DF"/>
    <w:rsid w:val="00154242"/>
    <w:rsid w:val="00155D7E"/>
    <w:rsid w:val="00155EE7"/>
    <w:rsid w:val="001566B9"/>
    <w:rsid w:val="00156A53"/>
    <w:rsid w:val="00156E69"/>
    <w:rsid w:val="00157B81"/>
    <w:rsid w:val="00161419"/>
    <w:rsid w:val="00161868"/>
    <w:rsid w:val="00161B0E"/>
    <w:rsid w:val="001628FB"/>
    <w:rsid w:val="00162D36"/>
    <w:rsid w:val="0016325D"/>
    <w:rsid w:val="00163888"/>
    <w:rsid w:val="00163B47"/>
    <w:rsid w:val="00163B66"/>
    <w:rsid w:val="001641DE"/>
    <w:rsid w:val="00164286"/>
    <w:rsid w:val="001643A9"/>
    <w:rsid w:val="00164EED"/>
    <w:rsid w:val="001654F6"/>
    <w:rsid w:val="001657CA"/>
    <w:rsid w:val="00165C7D"/>
    <w:rsid w:val="00166429"/>
    <w:rsid w:val="00166830"/>
    <w:rsid w:val="00167549"/>
    <w:rsid w:val="00167B96"/>
    <w:rsid w:val="001701BF"/>
    <w:rsid w:val="001708A9"/>
    <w:rsid w:val="00170AE1"/>
    <w:rsid w:val="00170BAC"/>
    <w:rsid w:val="00172A27"/>
    <w:rsid w:val="00173A4A"/>
    <w:rsid w:val="001746C5"/>
    <w:rsid w:val="001746F8"/>
    <w:rsid w:val="001748A1"/>
    <w:rsid w:val="0017499E"/>
    <w:rsid w:val="0017588D"/>
    <w:rsid w:val="001768FE"/>
    <w:rsid w:val="00176EB0"/>
    <w:rsid w:val="00177AB6"/>
    <w:rsid w:val="0018116B"/>
    <w:rsid w:val="001822E1"/>
    <w:rsid w:val="0018270B"/>
    <w:rsid w:val="00182F65"/>
    <w:rsid w:val="00183051"/>
    <w:rsid w:val="00183973"/>
    <w:rsid w:val="00184136"/>
    <w:rsid w:val="001849F0"/>
    <w:rsid w:val="001856D6"/>
    <w:rsid w:val="00185A7E"/>
    <w:rsid w:val="00185B4E"/>
    <w:rsid w:val="00185F6C"/>
    <w:rsid w:val="001866A8"/>
    <w:rsid w:val="001870D6"/>
    <w:rsid w:val="00187176"/>
    <w:rsid w:val="00187336"/>
    <w:rsid w:val="001877B4"/>
    <w:rsid w:val="0019121D"/>
    <w:rsid w:val="001914FE"/>
    <w:rsid w:val="001917EA"/>
    <w:rsid w:val="00191F3E"/>
    <w:rsid w:val="00192234"/>
    <w:rsid w:val="00192E42"/>
    <w:rsid w:val="00192E79"/>
    <w:rsid w:val="00193024"/>
    <w:rsid w:val="001930F2"/>
    <w:rsid w:val="0019321D"/>
    <w:rsid w:val="001935E9"/>
    <w:rsid w:val="00194122"/>
    <w:rsid w:val="001954A4"/>
    <w:rsid w:val="0019642C"/>
    <w:rsid w:val="001A07FA"/>
    <w:rsid w:val="001A0A34"/>
    <w:rsid w:val="001A0CC9"/>
    <w:rsid w:val="001A0DF3"/>
    <w:rsid w:val="001A1161"/>
    <w:rsid w:val="001A155D"/>
    <w:rsid w:val="001A1A4B"/>
    <w:rsid w:val="001A25DC"/>
    <w:rsid w:val="001A27AF"/>
    <w:rsid w:val="001A2F9F"/>
    <w:rsid w:val="001A3068"/>
    <w:rsid w:val="001A3F7E"/>
    <w:rsid w:val="001A3FC6"/>
    <w:rsid w:val="001A4F35"/>
    <w:rsid w:val="001A5A2A"/>
    <w:rsid w:val="001A5DDB"/>
    <w:rsid w:val="001A6047"/>
    <w:rsid w:val="001A619A"/>
    <w:rsid w:val="001A67FC"/>
    <w:rsid w:val="001A70DA"/>
    <w:rsid w:val="001A73D6"/>
    <w:rsid w:val="001A74F3"/>
    <w:rsid w:val="001A768E"/>
    <w:rsid w:val="001A7E65"/>
    <w:rsid w:val="001B1039"/>
    <w:rsid w:val="001B22B1"/>
    <w:rsid w:val="001B2372"/>
    <w:rsid w:val="001B3F48"/>
    <w:rsid w:val="001B4760"/>
    <w:rsid w:val="001B54CB"/>
    <w:rsid w:val="001B5713"/>
    <w:rsid w:val="001B5FEB"/>
    <w:rsid w:val="001B6B98"/>
    <w:rsid w:val="001B6EB4"/>
    <w:rsid w:val="001B77EC"/>
    <w:rsid w:val="001C0DEF"/>
    <w:rsid w:val="001C21CD"/>
    <w:rsid w:val="001C2970"/>
    <w:rsid w:val="001C334F"/>
    <w:rsid w:val="001C3A6B"/>
    <w:rsid w:val="001C4E20"/>
    <w:rsid w:val="001C4FEB"/>
    <w:rsid w:val="001C5852"/>
    <w:rsid w:val="001C5EC3"/>
    <w:rsid w:val="001C60F1"/>
    <w:rsid w:val="001C656B"/>
    <w:rsid w:val="001C6BF0"/>
    <w:rsid w:val="001C795C"/>
    <w:rsid w:val="001D0427"/>
    <w:rsid w:val="001D071C"/>
    <w:rsid w:val="001D0C15"/>
    <w:rsid w:val="001D0D12"/>
    <w:rsid w:val="001D0D22"/>
    <w:rsid w:val="001D0F16"/>
    <w:rsid w:val="001D15AF"/>
    <w:rsid w:val="001D1695"/>
    <w:rsid w:val="001D1F41"/>
    <w:rsid w:val="001D2A1A"/>
    <w:rsid w:val="001D39EE"/>
    <w:rsid w:val="001D3B99"/>
    <w:rsid w:val="001D3F44"/>
    <w:rsid w:val="001D4818"/>
    <w:rsid w:val="001D4859"/>
    <w:rsid w:val="001D4CC1"/>
    <w:rsid w:val="001D5027"/>
    <w:rsid w:val="001D511C"/>
    <w:rsid w:val="001D5AA8"/>
    <w:rsid w:val="001D6002"/>
    <w:rsid w:val="001D60EA"/>
    <w:rsid w:val="001D6B3A"/>
    <w:rsid w:val="001D6C67"/>
    <w:rsid w:val="001D6DC5"/>
    <w:rsid w:val="001D6E96"/>
    <w:rsid w:val="001D73AD"/>
    <w:rsid w:val="001D759D"/>
    <w:rsid w:val="001E0F8C"/>
    <w:rsid w:val="001E1E0D"/>
    <w:rsid w:val="001E378E"/>
    <w:rsid w:val="001E4704"/>
    <w:rsid w:val="001E4981"/>
    <w:rsid w:val="001E51C2"/>
    <w:rsid w:val="001E6780"/>
    <w:rsid w:val="001E6C1A"/>
    <w:rsid w:val="001E6E26"/>
    <w:rsid w:val="001E7280"/>
    <w:rsid w:val="001E746F"/>
    <w:rsid w:val="001E7514"/>
    <w:rsid w:val="001E7787"/>
    <w:rsid w:val="001E7998"/>
    <w:rsid w:val="001E7A36"/>
    <w:rsid w:val="001F0721"/>
    <w:rsid w:val="001F0907"/>
    <w:rsid w:val="001F1142"/>
    <w:rsid w:val="001F1571"/>
    <w:rsid w:val="001F1E10"/>
    <w:rsid w:val="001F1F93"/>
    <w:rsid w:val="001F2688"/>
    <w:rsid w:val="001F2B8C"/>
    <w:rsid w:val="001F3E42"/>
    <w:rsid w:val="001F4B06"/>
    <w:rsid w:val="001F4F5C"/>
    <w:rsid w:val="001F5DEB"/>
    <w:rsid w:val="001F6062"/>
    <w:rsid w:val="001F64B4"/>
    <w:rsid w:val="001F6703"/>
    <w:rsid w:val="0020035E"/>
    <w:rsid w:val="00200E91"/>
    <w:rsid w:val="002019A2"/>
    <w:rsid w:val="00201C98"/>
    <w:rsid w:val="002023F7"/>
    <w:rsid w:val="00202598"/>
    <w:rsid w:val="002031CC"/>
    <w:rsid w:val="00203810"/>
    <w:rsid w:val="00203BA3"/>
    <w:rsid w:val="00203F57"/>
    <w:rsid w:val="00204350"/>
    <w:rsid w:val="00204964"/>
    <w:rsid w:val="00204F45"/>
    <w:rsid w:val="00205302"/>
    <w:rsid w:val="0020560E"/>
    <w:rsid w:val="002059FA"/>
    <w:rsid w:val="002063FE"/>
    <w:rsid w:val="00206724"/>
    <w:rsid w:val="0020703E"/>
    <w:rsid w:val="0020733B"/>
    <w:rsid w:val="00207997"/>
    <w:rsid w:val="00207E24"/>
    <w:rsid w:val="00207EE1"/>
    <w:rsid w:val="00210371"/>
    <w:rsid w:val="00211259"/>
    <w:rsid w:val="00211AB8"/>
    <w:rsid w:val="00211B63"/>
    <w:rsid w:val="00212C31"/>
    <w:rsid w:val="00213052"/>
    <w:rsid w:val="00213F17"/>
    <w:rsid w:val="00214CF0"/>
    <w:rsid w:val="00216878"/>
    <w:rsid w:val="00216D3F"/>
    <w:rsid w:val="00217701"/>
    <w:rsid w:val="0021786A"/>
    <w:rsid w:val="00220FD6"/>
    <w:rsid w:val="00221916"/>
    <w:rsid w:val="00221E32"/>
    <w:rsid w:val="00221FD7"/>
    <w:rsid w:val="0022285D"/>
    <w:rsid w:val="002230C6"/>
    <w:rsid w:val="00223537"/>
    <w:rsid w:val="00223732"/>
    <w:rsid w:val="002238F0"/>
    <w:rsid w:val="0022527E"/>
    <w:rsid w:val="00225461"/>
    <w:rsid w:val="002254F1"/>
    <w:rsid w:val="00225B43"/>
    <w:rsid w:val="00226300"/>
    <w:rsid w:val="002263F2"/>
    <w:rsid w:val="00226574"/>
    <w:rsid w:val="002272FC"/>
    <w:rsid w:val="00227852"/>
    <w:rsid w:val="00227AC8"/>
    <w:rsid w:val="002309E6"/>
    <w:rsid w:val="00230D54"/>
    <w:rsid w:val="002319B1"/>
    <w:rsid w:val="00231E40"/>
    <w:rsid w:val="00231E4A"/>
    <w:rsid w:val="0023372B"/>
    <w:rsid w:val="00233742"/>
    <w:rsid w:val="002337BB"/>
    <w:rsid w:val="0023428D"/>
    <w:rsid w:val="002348ED"/>
    <w:rsid w:val="002354BF"/>
    <w:rsid w:val="00235896"/>
    <w:rsid w:val="00235C26"/>
    <w:rsid w:val="002363B8"/>
    <w:rsid w:val="002367CB"/>
    <w:rsid w:val="002374A8"/>
    <w:rsid w:val="002412A0"/>
    <w:rsid w:val="002417AC"/>
    <w:rsid w:val="002417CA"/>
    <w:rsid w:val="00241F5C"/>
    <w:rsid w:val="0024201B"/>
    <w:rsid w:val="00243E2A"/>
    <w:rsid w:val="00243F2B"/>
    <w:rsid w:val="00244237"/>
    <w:rsid w:val="00244452"/>
    <w:rsid w:val="002448FD"/>
    <w:rsid w:val="0024545B"/>
    <w:rsid w:val="002458B5"/>
    <w:rsid w:val="00245CA9"/>
    <w:rsid w:val="00245EBA"/>
    <w:rsid w:val="002463E4"/>
    <w:rsid w:val="002467F6"/>
    <w:rsid w:val="002476C5"/>
    <w:rsid w:val="00247BFC"/>
    <w:rsid w:val="0025015E"/>
    <w:rsid w:val="002513BE"/>
    <w:rsid w:val="0025186C"/>
    <w:rsid w:val="00251943"/>
    <w:rsid w:val="00251D49"/>
    <w:rsid w:val="0025251B"/>
    <w:rsid w:val="002525B1"/>
    <w:rsid w:val="00253DB8"/>
    <w:rsid w:val="0025523A"/>
    <w:rsid w:val="00255B4B"/>
    <w:rsid w:val="00255EA7"/>
    <w:rsid w:val="002560EB"/>
    <w:rsid w:val="00256587"/>
    <w:rsid w:val="00256CB3"/>
    <w:rsid w:val="0026003E"/>
    <w:rsid w:val="0026193D"/>
    <w:rsid w:val="002621E8"/>
    <w:rsid w:val="00262B7E"/>
    <w:rsid w:val="00263191"/>
    <w:rsid w:val="002631F0"/>
    <w:rsid w:val="00263F11"/>
    <w:rsid w:val="002643BE"/>
    <w:rsid w:val="00264936"/>
    <w:rsid w:val="002667D0"/>
    <w:rsid w:val="00266F25"/>
    <w:rsid w:val="00267727"/>
    <w:rsid w:val="00267802"/>
    <w:rsid w:val="00267D80"/>
    <w:rsid w:val="0027086F"/>
    <w:rsid w:val="00271290"/>
    <w:rsid w:val="002728C2"/>
    <w:rsid w:val="002731DF"/>
    <w:rsid w:val="00273826"/>
    <w:rsid w:val="002745DA"/>
    <w:rsid w:val="00274996"/>
    <w:rsid w:val="0027549D"/>
    <w:rsid w:val="00275A6B"/>
    <w:rsid w:val="00275C30"/>
    <w:rsid w:val="002766FE"/>
    <w:rsid w:val="00276785"/>
    <w:rsid w:val="002774EF"/>
    <w:rsid w:val="002778B8"/>
    <w:rsid w:val="0027795B"/>
    <w:rsid w:val="002808E7"/>
    <w:rsid w:val="00280DF2"/>
    <w:rsid w:val="002811BB"/>
    <w:rsid w:val="0028166F"/>
    <w:rsid w:val="00281CA2"/>
    <w:rsid w:val="00281F7F"/>
    <w:rsid w:val="002820B1"/>
    <w:rsid w:val="002820D1"/>
    <w:rsid w:val="00282697"/>
    <w:rsid w:val="00282BA7"/>
    <w:rsid w:val="002830AB"/>
    <w:rsid w:val="002848D0"/>
    <w:rsid w:val="00284AF2"/>
    <w:rsid w:val="002851D4"/>
    <w:rsid w:val="0028548A"/>
    <w:rsid w:val="0028656D"/>
    <w:rsid w:val="00286CC1"/>
    <w:rsid w:val="00286EB9"/>
    <w:rsid w:val="002873A4"/>
    <w:rsid w:val="00290D21"/>
    <w:rsid w:val="00290E0E"/>
    <w:rsid w:val="0029238C"/>
    <w:rsid w:val="0029279F"/>
    <w:rsid w:val="00293FBC"/>
    <w:rsid w:val="00294577"/>
    <w:rsid w:val="002945D7"/>
    <w:rsid w:val="002946BA"/>
    <w:rsid w:val="00294E0D"/>
    <w:rsid w:val="00295A03"/>
    <w:rsid w:val="00295BF7"/>
    <w:rsid w:val="00295FEB"/>
    <w:rsid w:val="00296061"/>
    <w:rsid w:val="00296D6C"/>
    <w:rsid w:val="002976F9"/>
    <w:rsid w:val="00297D25"/>
    <w:rsid w:val="002A18A3"/>
    <w:rsid w:val="002A2D01"/>
    <w:rsid w:val="002A3282"/>
    <w:rsid w:val="002A3985"/>
    <w:rsid w:val="002A3ED9"/>
    <w:rsid w:val="002A462E"/>
    <w:rsid w:val="002A4938"/>
    <w:rsid w:val="002A4979"/>
    <w:rsid w:val="002A4B0F"/>
    <w:rsid w:val="002A5D77"/>
    <w:rsid w:val="002A6011"/>
    <w:rsid w:val="002A60E6"/>
    <w:rsid w:val="002A65CC"/>
    <w:rsid w:val="002A6C38"/>
    <w:rsid w:val="002A78C8"/>
    <w:rsid w:val="002B02DC"/>
    <w:rsid w:val="002B34F2"/>
    <w:rsid w:val="002B51AC"/>
    <w:rsid w:val="002B55CB"/>
    <w:rsid w:val="002B5668"/>
    <w:rsid w:val="002B6894"/>
    <w:rsid w:val="002C06F0"/>
    <w:rsid w:val="002C191B"/>
    <w:rsid w:val="002C2C21"/>
    <w:rsid w:val="002C2F7B"/>
    <w:rsid w:val="002C3152"/>
    <w:rsid w:val="002C3A96"/>
    <w:rsid w:val="002C42AB"/>
    <w:rsid w:val="002C46B2"/>
    <w:rsid w:val="002C5204"/>
    <w:rsid w:val="002C53DA"/>
    <w:rsid w:val="002C555A"/>
    <w:rsid w:val="002C5829"/>
    <w:rsid w:val="002C5E24"/>
    <w:rsid w:val="002C5EAD"/>
    <w:rsid w:val="002C61DC"/>
    <w:rsid w:val="002C6F15"/>
    <w:rsid w:val="002C7843"/>
    <w:rsid w:val="002C7882"/>
    <w:rsid w:val="002C7A7E"/>
    <w:rsid w:val="002D0654"/>
    <w:rsid w:val="002D08EF"/>
    <w:rsid w:val="002D17CC"/>
    <w:rsid w:val="002D1847"/>
    <w:rsid w:val="002D19EF"/>
    <w:rsid w:val="002D1BB8"/>
    <w:rsid w:val="002D32EF"/>
    <w:rsid w:val="002D3EC0"/>
    <w:rsid w:val="002D50C6"/>
    <w:rsid w:val="002D6351"/>
    <w:rsid w:val="002E0478"/>
    <w:rsid w:val="002E0790"/>
    <w:rsid w:val="002E0C07"/>
    <w:rsid w:val="002E107C"/>
    <w:rsid w:val="002E17D8"/>
    <w:rsid w:val="002E19CF"/>
    <w:rsid w:val="002E1FDC"/>
    <w:rsid w:val="002E2782"/>
    <w:rsid w:val="002E2BDE"/>
    <w:rsid w:val="002E3326"/>
    <w:rsid w:val="002E3702"/>
    <w:rsid w:val="002E3E2C"/>
    <w:rsid w:val="002E41B9"/>
    <w:rsid w:val="002E42A4"/>
    <w:rsid w:val="002E4E55"/>
    <w:rsid w:val="002E5222"/>
    <w:rsid w:val="002E540D"/>
    <w:rsid w:val="002E557A"/>
    <w:rsid w:val="002E565D"/>
    <w:rsid w:val="002E5CCB"/>
    <w:rsid w:val="002E622A"/>
    <w:rsid w:val="002E659B"/>
    <w:rsid w:val="002E6DB1"/>
    <w:rsid w:val="002E79BB"/>
    <w:rsid w:val="002E7A43"/>
    <w:rsid w:val="002E7CE8"/>
    <w:rsid w:val="002F0249"/>
    <w:rsid w:val="002F0866"/>
    <w:rsid w:val="002F0BAC"/>
    <w:rsid w:val="002F1085"/>
    <w:rsid w:val="002F1C6B"/>
    <w:rsid w:val="002F291F"/>
    <w:rsid w:val="002F383C"/>
    <w:rsid w:val="002F3EA8"/>
    <w:rsid w:val="002F4783"/>
    <w:rsid w:val="002F4F55"/>
    <w:rsid w:val="002F5768"/>
    <w:rsid w:val="002F66FA"/>
    <w:rsid w:val="002F6D50"/>
    <w:rsid w:val="002F6EAF"/>
    <w:rsid w:val="003009A2"/>
    <w:rsid w:val="00301F1B"/>
    <w:rsid w:val="0030256C"/>
    <w:rsid w:val="00302BC2"/>
    <w:rsid w:val="003030FC"/>
    <w:rsid w:val="00303144"/>
    <w:rsid w:val="003033D2"/>
    <w:rsid w:val="0030356B"/>
    <w:rsid w:val="00303CEE"/>
    <w:rsid w:val="00304311"/>
    <w:rsid w:val="00304B24"/>
    <w:rsid w:val="003064EE"/>
    <w:rsid w:val="00306A88"/>
    <w:rsid w:val="00306E14"/>
    <w:rsid w:val="00307A81"/>
    <w:rsid w:val="003101C3"/>
    <w:rsid w:val="003101D4"/>
    <w:rsid w:val="00310CD0"/>
    <w:rsid w:val="00310FBA"/>
    <w:rsid w:val="00311E19"/>
    <w:rsid w:val="003122F3"/>
    <w:rsid w:val="00312C02"/>
    <w:rsid w:val="003135C8"/>
    <w:rsid w:val="0031399E"/>
    <w:rsid w:val="00313CA7"/>
    <w:rsid w:val="00313E34"/>
    <w:rsid w:val="0031405D"/>
    <w:rsid w:val="003141DE"/>
    <w:rsid w:val="00315192"/>
    <w:rsid w:val="003171DF"/>
    <w:rsid w:val="0031796A"/>
    <w:rsid w:val="00322026"/>
    <w:rsid w:val="00322B8A"/>
    <w:rsid w:val="00322FC7"/>
    <w:rsid w:val="00323379"/>
    <w:rsid w:val="003239C2"/>
    <w:rsid w:val="00323B66"/>
    <w:rsid w:val="00324440"/>
    <w:rsid w:val="0032522B"/>
    <w:rsid w:val="00325235"/>
    <w:rsid w:val="00325F27"/>
    <w:rsid w:val="0032701F"/>
    <w:rsid w:val="00327587"/>
    <w:rsid w:val="00327754"/>
    <w:rsid w:val="00327F64"/>
    <w:rsid w:val="003301AD"/>
    <w:rsid w:val="0033053B"/>
    <w:rsid w:val="00330C68"/>
    <w:rsid w:val="00330EF0"/>
    <w:rsid w:val="00331728"/>
    <w:rsid w:val="003323D9"/>
    <w:rsid w:val="003324B0"/>
    <w:rsid w:val="00332830"/>
    <w:rsid w:val="0033393C"/>
    <w:rsid w:val="00333B0F"/>
    <w:rsid w:val="003342C8"/>
    <w:rsid w:val="003357D7"/>
    <w:rsid w:val="00335EFD"/>
    <w:rsid w:val="00336007"/>
    <w:rsid w:val="00336047"/>
    <w:rsid w:val="003374FD"/>
    <w:rsid w:val="0034019A"/>
    <w:rsid w:val="003403FC"/>
    <w:rsid w:val="00340838"/>
    <w:rsid w:val="003409EC"/>
    <w:rsid w:val="00341115"/>
    <w:rsid w:val="003412F1"/>
    <w:rsid w:val="003419E5"/>
    <w:rsid w:val="00343914"/>
    <w:rsid w:val="00343F19"/>
    <w:rsid w:val="003442F2"/>
    <w:rsid w:val="0034507A"/>
    <w:rsid w:val="003455CB"/>
    <w:rsid w:val="003456BF"/>
    <w:rsid w:val="00346024"/>
    <w:rsid w:val="003476FE"/>
    <w:rsid w:val="003503B2"/>
    <w:rsid w:val="003506DC"/>
    <w:rsid w:val="00350CD5"/>
    <w:rsid w:val="003512A3"/>
    <w:rsid w:val="00351AA9"/>
    <w:rsid w:val="00351DD7"/>
    <w:rsid w:val="00352C05"/>
    <w:rsid w:val="003531A2"/>
    <w:rsid w:val="003531C5"/>
    <w:rsid w:val="00354201"/>
    <w:rsid w:val="00354229"/>
    <w:rsid w:val="00354E84"/>
    <w:rsid w:val="00354F35"/>
    <w:rsid w:val="003552E5"/>
    <w:rsid w:val="003555A6"/>
    <w:rsid w:val="00355B7A"/>
    <w:rsid w:val="00355C7C"/>
    <w:rsid w:val="00355D37"/>
    <w:rsid w:val="00356DE0"/>
    <w:rsid w:val="0035711C"/>
    <w:rsid w:val="00357A84"/>
    <w:rsid w:val="00357A94"/>
    <w:rsid w:val="00357E1F"/>
    <w:rsid w:val="00360661"/>
    <w:rsid w:val="0036156F"/>
    <w:rsid w:val="00362672"/>
    <w:rsid w:val="0036269F"/>
    <w:rsid w:val="003628FC"/>
    <w:rsid w:val="00362900"/>
    <w:rsid w:val="00363091"/>
    <w:rsid w:val="00363F35"/>
    <w:rsid w:val="003646F6"/>
    <w:rsid w:val="003647CB"/>
    <w:rsid w:val="00365156"/>
    <w:rsid w:val="00365DA4"/>
    <w:rsid w:val="003660A9"/>
    <w:rsid w:val="0036723F"/>
    <w:rsid w:val="003677A6"/>
    <w:rsid w:val="00367873"/>
    <w:rsid w:val="00367AED"/>
    <w:rsid w:val="00367C47"/>
    <w:rsid w:val="00367C4A"/>
    <w:rsid w:val="00370738"/>
    <w:rsid w:val="003719DF"/>
    <w:rsid w:val="00371B28"/>
    <w:rsid w:val="00372C15"/>
    <w:rsid w:val="00373787"/>
    <w:rsid w:val="003737EF"/>
    <w:rsid w:val="003745B5"/>
    <w:rsid w:val="00374608"/>
    <w:rsid w:val="0037482A"/>
    <w:rsid w:val="0037499B"/>
    <w:rsid w:val="003756A6"/>
    <w:rsid w:val="003756D7"/>
    <w:rsid w:val="00375F19"/>
    <w:rsid w:val="00376471"/>
    <w:rsid w:val="00377D30"/>
    <w:rsid w:val="00377FB1"/>
    <w:rsid w:val="00380117"/>
    <w:rsid w:val="00380AF1"/>
    <w:rsid w:val="00381BDF"/>
    <w:rsid w:val="00381C3B"/>
    <w:rsid w:val="00382800"/>
    <w:rsid w:val="0038290E"/>
    <w:rsid w:val="0038370C"/>
    <w:rsid w:val="00383FF4"/>
    <w:rsid w:val="0038408B"/>
    <w:rsid w:val="00384261"/>
    <w:rsid w:val="00384928"/>
    <w:rsid w:val="00384937"/>
    <w:rsid w:val="00385BD9"/>
    <w:rsid w:val="003861B9"/>
    <w:rsid w:val="003866AA"/>
    <w:rsid w:val="00386A08"/>
    <w:rsid w:val="00390583"/>
    <w:rsid w:val="00390B9E"/>
    <w:rsid w:val="0039391C"/>
    <w:rsid w:val="00394A43"/>
    <w:rsid w:val="00394CFA"/>
    <w:rsid w:val="00395A2E"/>
    <w:rsid w:val="0039688C"/>
    <w:rsid w:val="00396A0B"/>
    <w:rsid w:val="00397D70"/>
    <w:rsid w:val="00397F50"/>
    <w:rsid w:val="00397FFA"/>
    <w:rsid w:val="003A0941"/>
    <w:rsid w:val="003A0BC8"/>
    <w:rsid w:val="003A1476"/>
    <w:rsid w:val="003A25C0"/>
    <w:rsid w:val="003A2B5D"/>
    <w:rsid w:val="003A30C2"/>
    <w:rsid w:val="003A3831"/>
    <w:rsid w:val="003A393C"/>
    <w:rsid w:val="003A3BDB"/>
    <w:rsid w:val="003A429E"/>
    <w:rsid w:val="003A42E0"/>
    <w:rsid w:val="003A4BD1"/>
    <w:rsid w:val="003A5007"/>
    <w:rsid w:val="003A505F"/>
    <w:rsid w:val="003A5B56"/>
    <w:rsid w:val="003A5C97"/>
    <w:rsid w:val="003A6C23"/>
    <w:rsid w:val="003A7EB2"/>
    <w:rsid w:val="003A7F95"/>
    <w:rsid w:val="003B02FE"/>
    <w:rsid w:val="003B04FA"/>
    <w:rsid w:val="003B1208"/>
    <w:rsid w:val="003B1989"/>
    <w:rsid w:val="003B25D3"/>
    <w:rsid w:val="003B266C"/>
    <w:rsid w:val="003B292D"/>
    <w:rsid w:val="003B2DFB"/>
    <w:rsid w:val="003B3006"/>
    <w:rsid w:val="003B32EA"/>
    <w:rsid w:val="003B368E"/>
    <w:rsid w:val="003B40A6"/>
    <w:rsid w:val="003B4913"/>
    <w:rsid w:val="003B5088"/>
    <w:rsid w:val="003B51CB"/>
    <w:rsid w:val="003B524D"/>
    <w:rsid w:val="003B53B3"/>
    <w:rsid w:val="003B5CEF"/>
    <w:rsid w:val="003B60CA"/>
    <w:rsid w:val="003B6D24"/>
    <w:rsid w:val="003B6DFC"/>
    <w:rsid w:val="003B6EDD"/>
    <w:rsid w:val="003B7171"/>
    <w:rsid w:val="003B7459"/>
    <w:rsid w:val="003B79F8"/>
    <w:rsid w:val="003C024C"/>
    <w:rsid w:val="003C0713"/>
    <w:rsid w:val="003C1502"/>
    <w:rsid w:val="003C1B9D"/>
    <w:rsid w:val="003C216C"/>
    <w:rsid w:val="003C2749"/>
    <w:rsid w:val="003C2DFD"/>
    <w:rsid w:val="003C38BE"/>
    <w:rsid w:val="003C3A6C"/>
    <w:rsid w:val="003C3E4E"/>
    <w:rsid w:val="003C4C3F"/>
    <w:rsid w:val="003C5954"/>
    <w:rsid w:val="003C5A96"/>
    <w:rsid w:val="003C5D40"/>
    <w:rsid w:val="003C625D"/>
    <w:rsid w:val="003C6B1B"/>
    <w:rsid w:val="003C6C44"/>
    <w:rsid w:val="003C6D34"/>
    <w:rsid w:val="003C71DB"/>
    <w:rsid w:val="003C721E"/>
    <w:rsid w:val="003C7223"/>
    <w:rsid w:val="003C732E"/>
    <w:rsid w:val="003C78FA"/>
    <w:rsid w:val="003D06D1"/>
    <w:rsid w:val="003D16D1"/>
    <w:rsid w:val="003D2685"/>
    <w:rsid w:val="003D3426"/>
    <w:rsid w:val="003D3FB8"/>
    <w:rsid w:val="003D4370"/>
    <w:rsid w:val="003D538E"/>
    <w:rsid w:val="003D5DAE"/>
    <w:rsid w:val="003D60B1"/>
    <w:rsid w:val="003D6CEA"/>
    <w:rsid w:val="003D7219"/>
    <w:rsid w:val="003D737E"/>
    <w:rsid w:val="003D79E8"/>
    <w:rsid w:val="003D7A8F"/>
    <w:rsid w:val="003E11F4"/>
    <w:rsid w:val="003E13C3"/>
    <w:rsid w:val="003E24FE"/>
    <w:rsid w:val="003E2A13"/>
    <w:rsid w:val="003E2B7C"/>
    <w:rsid w:val="003E2F74"/>
    <w:rsid w:val="003E2FEC"/>
    <w:rsid w:val="003E329C"/>
    <w:rsid w:val="003E3F1B"/>
    <w:rsid w:val="003E40CB"/>
    <w:rsid w:val="003E46E7"/>
    <w:rsid w:val="003E478C"/>
    <w:rsid w:val="003E48E8"/>
    <w:rsid w:val="003E4D0B"/>
    <w:rsid w:val="003E4D1B"/>
    <w:rsid w:val="003E5AB8"/>
    <w:rsid w:val="003E643D"/>
    <w:rsid w:val="003E6930"/>
    <w:rsid w:val="003E69B9"/>
    <w:rsid w:val="003E7292"/>
    <w:rsid w:val="003E7537"/>
    <w:rsid w:val="003E77A0"/>
    <w:rsid w:val="003E7CB8"/>
    <w:rsid w:val="003E7EF1"/>
    <w:rsid w:val="003F0E68"/>
    <w:rsid w:val="003F0EF9"/>
    <w:rsid w:val="003F0F2A"/>
    <w:rsid w:val="003F19DB"/>
    <w:rsid w:val="003F1AF6"/>
    <w:rsid w:val="003F2230"/>
    <w:rsid w:val="003F27E5"/>
    <w:rsid w:val="003F286E"/>
    <w:rsid w:val="003F28CD"/>
    <w:rsid w:val="003F3077"/>
    <w:rsid w:val="003F3549"/>
    <w:rsid w:val="003F3697"/>
    <w:rsid w:val="003F44B0"/>
    <w:rsid w:val="003F4A1C"/>
    <w:rsid w:val="003F62CA"/>
    <w:rsid w:val="003F64E7"/>
    <w:rsid w:val="003F7733"/>
    <w:rsid w:val="003F7F81"/>
    <w:rsid w:val="004007E7"/>
    <w:rsid w:val="00401283"/>
    <w:rsid w:val="004014EF"/>
    <w:rsid w:val="00401610"/>
    <w:rsid w:val="00402D04"/>
    <w:rsid w:val="004037CA"/>
    <w:rsid w:val="00403F1A"/>
    <w:rsid w:val="00404694"/>
    <w:rsid w:val="00404863"/>
    <w:rsid w:val="00405058"/>
    <w:rsid w:val="00406C84"/>
    <w:rsid w:val="00406E77"/>
    <w:rsid w:val="00406F05"/>
    <w:rsid w:val="00407400"/>
    <w:rsid w:val="004074D7"/>
    <w:rsid w:val="00407E14"/>
    <w:rsid w:val="004100F2"/>
    <w:rsid w:val="00410274"/>
    <w:rsid w:val="00410446"/>
    <w:rsid w:val="00410AB6"/>
    <w:rsid w:val="00410C4D"/>
    <w:rsid w:val="0041115C"/>
    <w:rsid w:val="00411605"/>
    <w:rsid w:val="004118D0"/>
    <w:rsid w:val="00411F66"/>
    <w:rsid w:val="00412D72"/>
    <w:rsid w:val="0041300A"/>
    <w:rsid w:val="00413148"/>
    <w:rsid w:val="004138F8"/>
    <w:rsid w:val="00414550"/>
    <w:rsid w:val="00414885"/>
    <w:rsid w:val="00415322"/>
    <w:rsid w:val="00415C54"/>
    <w:rsid w:val="00416280"/>
    <w:rsid w:val="00416EE4"/>
    <w:rsid w:val="004173C4"/>
    <w:rsid w:val="00420712"/>
    <w:rsid w:val="00422146"/>
    <w:rsid w:val="00422EE0"/>
    <w:rsid w:val="00423825"/>
    <w:rsid w:val="00424FFA"/>
    <w:rsid w:val="00425435"/>
    <w:rsid w:val="00425A08"/>
    <w:rsid w:val="00425EE9"/>
    <w:rsid w:val="004264EF"/>
    <w:rsid w:val="004269AA"/>
    <w:rsid w:val="00426B58"/>
    <w:rsid w:val="00426C9E"/>
    <w:rsid w:val="00426F1C"/>
    <w:rsid w:val="004275E5"/>
    <w:rsid w:val="00427C56"/>
    <w:rsid w:val="004305B1"/>
    <w:rsid w:val="004317DB"/>
    <w:rsid w:val="00431A1D"/>
    <w:rsid w:val="00431F34"/>
    <w:rsid w:val="00433404"/>
    <w:rsid w:val="00433505"/>
    <w:rsid w:val="00434470"/>
    <w:rsid w:val="00434ED1"/>
    <w:rsid w:val="004355D3"/>
    <w:rsid w:val="00436BBC"/>
    <w:rsid w:val="0043705B"/>
    <w:rsid w:val="0043708D"/>
    <w:rsid w:val="004377FF"/>
    <w:rsid w:val="00437957"/>
    <w:rsid w:val="00437BDC"/>
    <w:rsid w:val="004401B0"/>
    <w:rsid w:val="00440977"/>
    <w:rsid w:val="0044181A"/>
    <w:rsid w:val="00443B83"/>
    <w:rsid w:val="00443EB5"/>
    <w:rsid w:val="00444660"/>
    <w:rsid w:val="0044481A"/>
    <w:rsid w:val="004459E6"/>
    <w:rsid w:val="004459EF"/>
    <w:rsid w:val="00446ADB"/>
    <w:rsid w:val="004470F8"/>
    <w:rsid w:val="00447F4D"/>
    <w:rsid w:val="0045028F"/>
    <w:rsid w:val="00450404"/>
    <w:rsid w:val="004505DA"/>
    <w:rsid w:val="00450970"/>
    <w:rsid w:val="00450E8E"/>
    <w:rsid w:val="004519E3"/>
    <w:rsid w:val="00451C1F"/>
    <w:rsid w:val="004521DF"/>
    <w:rsid w:val="00452764"/>
    <w:rsid w:val="00452AE0"/>
    <w:rsid w:val="00452C4F"/>
    <w:rsid w:val="0045418B"/>
    <w:rsid w:val="004541FD"/>
    <w:rsid w:val="00454315"/>
    <w:rsid w:val="00457472"/>
    <w:rsid w:val="004602F5"/>
    <w:rsid w:val="0046070B"/>
    <w:rsid w:val="00461B60"/>
    <w:rsid w:val="00461FE4"/>
    <w:rsid w:val="004638B4"/>
    <w:rsid w:val="004641E4"/>
    <w:rsid w:val="004644FE"/>
    <w:rsid w:val="00464973"/>
    <w:rsid w:val="00464CEB"/>
    <w:rsid w:val="0046546D"/>
    <w:rsid w:val="00465594"/>
    <w:rsid w:val="004657EB"/>
    <w:rsid w:val="004660FF"/>
    <w:rsid w:val="00466F15"/>
    <w:rsid w:val="0046715D"/>
    <w:rsid w:val="00471606"/>
    <w:rsid w:val="0047199B"/>
    <w:rsid w:val="00471DBF"/>
    <w:rsid w:val="0047263E"/>
    <w:rsid w:val="00473503"/>
    <w:rsid w:val="0047372A"/>
    <w:rsid w:val="00473A34"/>
    <w:rsid w:val="00473FFB"/>
    <w:rsid w:val="00475734"/>
    <w:rsid w:val="004767A6"/>
    <w:rsid w:val="00476801"/>
    <w:rsid w:val="004768FA"/>
    <w:rsid w:val="00476CF2"/>
    <w:rsid w:val="004774BE"/>
    <w:rsid w:val="00477A5C"/>
    <w:rsid w:val="00480213"/>
    <w:rsid w:val="00481516"/>
    <w:rsid w:val="00481A8F"/>
    <w:rsid w:val="00481CA3"/>
    <w:rsid w:val="00481CFF"/>
    <w:rsid w:val="00482F4C"/>
    <w:rsid w:val="004836D7"/>
    <w:rsid w:val="004838CC"/>
    <w:rsid w:val="004841F7"/>
    <w:rsid w:val="00484214"/>
    <w:rsid w:val="004842E9"/>
    <w:rsid w:val="00484B6C"/>
    <w:rsid w:val="004856EA"/>
    <w:rsid w:val="00485F4F"/>
    <w:rsid w:val="00486338"/>
    <w:rsid w:val="00487202"/>
    <w:rsid w:val="00487B24"/>
    <w:rsid w:val="0049031B"/>
    <w:rsid w:val="00490CE2"/>
    <w:rsid w:val="00491062"/>
    <w:rsid w:val="00491221"/>
    <w:rsid w:val="00492252"/>
    <w:rsid w:val="004922C2"/>
    <w:rsid w:val="00492ED2"/>
    <w:rsid w:val="00492FFC"/>
    <w:rsid w:val="00493125"/>
    <w:rsid w:val="004933F6"/>
    <w:rsid w:val="0049401F"/>
    <w:rsid w:val="00494290"/>
    <w:rsid w:val="004945BF"/>
    <w:rsid w:val="00494CD5"/>
    <w:rsid w:val="00495017"/>
    <w:rsid w:val="00495CD3"/>
    <w:rsid w:val="004961BD"/>
    <w:rsid w:val="0049714C"/>
    <w:rsid w:val="004A0F5A"/>
    <w:rsid w:val="004A139E"/>
    <w:rsid w:val="004A1A8B"/>
    <w:rsid w:val="004A1D4E"/>
    <w:rsid w:val="004A1F21"/>
    <w:rsid w:val="004A1FA1"/>
    <w:rsid w:val="004A1FE9"/>
    <w:rsid w:val="004A205A"/>
    <w:rsid w:val="004A22DB"/>
    <w:rsid w:val="004A2AEF"/>
    <w:rsid w:val="004A340B"/>
    <w:rsid w:val="004A35FB"/>
    <w:rsid w:val="004A36A6"/>
    <w:rsid w:val="004A4D3C"/>
    <w:rsid w:val="004A536E"/>
    <w:rsid w:val="004A5461"/>
    <w:rsid w:val="004A60FE"/>
    <w:rsid w:val="004A68DD"/>
    <w:rsid w:val="004A7B04"/>
    <w:rsid w:val="004B0B21"/>
    <w:rsid w:val="004B0C12"/>
    <w:rsid w:val="004B1293"/>
    <w:rsid w:val="004B16E0"/>
    <w:rsid w:val="004B1C20"/>
    <w:rsid w:val="004B1D8F"/>
    <w:rsid w:val="004B23B4"/>
    <w:rsid w:val="004B2977"/>
    <w:rsid w:val="004B40CF"/>
    <w:rsid w:val="004B4C99"/>
    <w:rsid w:val="004B615D"/>
    <w:rsid w:val="004B676E"/>
    <w:rsid w:val="004B6C59"/>
    <w:rsid w:val="004B710A"/>
    <w:rsid w:val="004B71DD"/>
    <w:rsid w:val="004B78BE"/>
    <w:rsid w:val="004B7E16"/>
    <w:rsid w:val="004B7FE0"/>
    <w:rsid w:val="004C0013"/>
    <w:rsid w:val="004C009F"/>
    <w:rsid w:val="004C02ED"/>
    <w:rsid w:val="004C062E"/>
    <w:rsid w:val="004C176C"/>
    <w:rsid w:val="004C196D"/>
    <w:rsid w:val="004C1E07"/>
    <w:rsid w:val="004C2169"/>
    <w:rsid w:val="004C2CE5"/>
    <w:rsid w:val="004C30E7"/>
    <w:rsid w:val="004C3594"/>
    <w:rsid w:val="004C36A4"/>
    <w:rsid w:val="004C37FB"/>
    <w:rsid w:val="004C38F2"/>
    <w:rsid w:val="004C3BDD"/>
    <w:rsid w:val="004C45D8"/>
    <w:rsid w:val="004C48A1"/>
    <w:rsid w:val="004C4A61"/>
    <w:rsid w:val="004C4FBF"/>
    <w:rsid w:val="004C54A8"/>
    <w:rsid w:val="004C6B60"/>
    <w:rsid w:val="004C6CF3"/>
    <w:rsid w:val="004C713E"/>
    <w:rsid w:val="004C7524"/>
    <w:rsid w:val="004C7C41"/>
    <w:rsid w:val="004C7FD0"/>
    <w:rsid w:val="004D0797"/>
    <w:rsid w:val="004D1180"/>
    <w:rsid w:val="004D2273"/>
    <w:rsid w:val="004D280B"/>
    <w:rsid w:val="004D288C"/>
    <w:rsid w:val="004D347B"/>
    <w:rsid w:val="004D3D2C"/>
    <w:rsid w:val="004D42EE"/>
    <w:rsid w:val="004D4C5D"/>
    <w:rsid w:val="004D4DF0"/>
    <w:rsid w:val="004D5045"/>
    <w:rsid w:val="004D5370"/>
    <w:rsid w:val="004D5AAC"/>
    <w:rsid w:val="004D6102"/>
    <w:rsid w:val="004D6F07"/>
    <w:rsid w:val="004D746E"/>
    <w:rsid w:val="004E04AC"/>
    <w:rsid w:val="004E131C"/>
    <w:rsid w:val="004E1A09"/>
    <w:rsid w:val="004E211A"/>
    <w:rsid w:val="004E21FE"/>
    <w:rsid w:val="004E2ACF"/>
    <w:rsid w:val="004E2CA0"/>
    <w:rsid w:val="004E2EAE"/>
    <w:rsid w:val="004E30D0"/>
    <w:rsid w:val="004E3E1B"/>
    <w:rsid w:val="004E4CBA"/>
    <w:rsid w:val="004E4CC9"/>
    <w:rsid w:val="004E6504"/>
    <w:rsid w:val="004E7313"/>
    <w:rsid w:val="004E76BF"/>
    <w:rsid w:val="004F0478"/>
    <w:rsid w:val="004F09EA"/>
    <w:rsid w:val="004F152A"/>
    <w:rsid w:val="004F18EF"/>
    <w:rsid w:val="004F237F"/>
    <w:rsid w:val="004F2A33"/>
    <w:rsid w:val="004F4D8A"/>
    <w:rsid w:val="004F50E9"/>
    <w:rsid w:val="004F5417"/>
    <w:rsid w:val="004F744D"/>
    <w:rsid w:val="005015E1"/>
    <w:rsid w:val="005019BA"/>
    <w:rsid w:val="0050291F"/>
    <w:rsid w:val="005029E4"/>
    <w:rsid w:val="00503588"/>
    <w:rsid w:val="00503E2E"/>
    <w:rsid w:val="0050483D"/>
    <w:rsid w:val="00504E58"/>
    <w:rsid w:val="005052BC"/>
    <w:rsid w:val="005054AA"/>
    <w:rsid w:val="00506620"/>
    <w:rsid w:val="005074A8"/>
    <w:rsid w:val="0050768C"/>
    <w:rsid w:val="00507835"/>
    <w:rsid w:val="0050798B"/>
    <w:rsid w:val="00510103"/>
    <w:rsid w:val="005114E2"/>
    <w:rsid w:val="00511B4F"/>
    <w:rsid w:val="00511D4A"/>
    <w:rsid w:val="005136F9"/>
    <w:rsid w:val="00513DEB"/>
    <w:rsid w:val="0051605A"/>
    <w:rsid w:val="0051708C"/>
    <w:rsid w:val="00517DB0"/>
    <w:rsid w:val="00520B9D"/>
    <w:rsid w:val="00520C52"/>
    <w:rsid w:val="00520C76"/>
    <w:rsid w:val="00520D0D"/>
    <w:rsid w:val="00520E67"/>
    <w:rsid w:val="00521D5E"/>
    <w:rsid w:val="00521E23"/>
    <w:rsid w:val="005227C8"/>
    <w:rsid w:val="00523294"/>
    <w:rsid w:val="00523352"/>
    <w:rsid w:val="0052381F"/>
    <w:rsid w:val="00523FE6"/>
    <w:rsid w:val="00524A26"/>
    <w:rsid w:val="00526356"/>
    <w:rsid w:val="00527CC0"/>
    <w:rsid w:val="00527E22"/>
    <w:rsid w:val="00530B7E"/>
    <w:rsid w:val="0053123D"/>
    <w:rsid w:val="00531B21"/>
    <w:rsid w:val="00532A2C"/>
    <w:rsid w:val="005331F1"/>
    <w:rsid w:val="00533D76"/>
    <w:rsid w:val="00533FFF"/>
    <w:rsid w:val="00534D77"/>
    <w:rsid w:val="00534DFE"/>
    <w:rsid w:val="00535254"/>
    <w:rsid w:val="00535582"/>
    <w:rsid w:val="00535E43"/>
    <w:rsid w:val="005364EA"/>
    <w:rsid w:val="00536754"/>
    <w:rsid w:val="005374C9"/>
    <w:rsid w:val="00537A51"/>
    <w:rsid w:val="00540A11"/>
    <w:rsid w:val="00540E4A"/>
    <w:rsid w:val="0054156A"/>
    <w:rsid w:val="0054185C"/>
    <w:rsid w:val="00541FDB"/>
    <w:rsid w:val="00542F83"/>
    <w:rsid w:val="00543E75"/>
    <w:rsid w:val="00544F90"/>
    <w:rsid w:val="0054505F"/>
    <w:rsid w:val="00545192"/>
    <w:rsid w:val="005451FF"/>
    <w:rsid w:val="00545E74"/>
    <w:rsid w:val="00546665"/>
    <w:rsid w:val="005467D0"/>
    <w:rsid w:val="00547DFB"/>
    <w:rsid w:val="00550711"/>
    <w:rsid w:val="005508C2"/>
    <w:rsid w:val="005516D3"/>
    <w:rsid w:val="005516F0"/>
    <w:rsid w:val="00551BD1"/>
    <w:rsid w:val="00552706"/>
    <w:rsid w:val="0055405B"/>
    <w:rsid w:val="005545FC"/>
    <w:rsid w:val="00554767"/>
    <w:rsid w:val="0055526D"/>
    <w:rsid w:val="00555A67"/>
    <w:rsid w:val="00556F14"/>
    <w:rsid w:val="0055713E"/>
    <w:rsid w:val="005606D3"/>
    <w:rsid w:val="00562782"/>
    <w:rsid w:val="00563916"/>
    <w:rsid w:val="00563E8A"/>
    <w:rsid w:val="00564509"/>
    <w:rsid w:val="0056464E"/>
    <w:rsid w:val="0056486D"/>
    <w:rsid w:val="00565513"/>
    <w:rsid w:val="005659EB"/>
    <w:rsid w:val="00566160"/>
    <w:rsid w:val="00566240"/>
    <w:rsid w:val="00566974"/>
    <w:rsid w:val="00566AA6"/>
    <w:rsid w:val="00566CB2"/>
    <w:rsid w:val="005670C6"/>
    <w:rsid w:val="0056732D"/>
    <w:rsid w:val="005673C2"/>
    <w:rsid w:val="00570896"/>
    <w:rsid w:val="0057115C"/>
    <w:rsid w:val="00572596"/>
    <w:rsid w:val="0057351D"/>
    <w:rsid w:val="00573AE7"/>
    <w:rsid w:val="00574CCC"/>
    <w:rsid w:val="00574D84"/>
    <w:rsid w:val="00574F45"/>
    <w:rsid w:val="00574FEF"/>
    <w:rsid w:val="00575023"/>
    <w:rsid w:val="00575AB9"/>
    <w:rsid w:val="00576286"/>
    <w:rsid w:val="00576556"/>
    <w:rsid w:val="0057655D"/>
    <w:rsid w:val="00576596"/>
    <w:rsid w:val="00576690"/>
    <w:rsid w:val="00576700"/>
    <w:rsid w:val="0057689E"/>
    <w:rsid w:val="00577C44"/>
    <w:rsid w:val="00580167"/>
    <w:rsid w:val="005804DE"/>
    <w:rsid w:val="005836F1"/>
    <w:rsid w:val="00583AA6"/>
    <w:rsid w:val="00583E98"/>
    <w:rsid w:val="0058411B"/>
    <w:rsid w:val="005841A4"/>
    <w:rsid w:val="00584481"/>
    <w:rsid w:val="0058506A"/>
    <w:rsid w:val="0058510F"/>
    <w:rsid w:val="0058519B"/>
    <w:rsid w:val="00586150"/>
    <w:rsid w:val="0058619E"/>
    <w:rsid w:val="005867B7"/>
    <w:rsid w:val="00586909"/>
    <w:rsid w:val="005876BA"/>
    <w:rsid w:val="00587D7C"/>
    <w:rsid w:val="00587F4F"/>
    <w:rsid w:val="00590665"/>
    <w:rsid w:val="00590F7B"/>
    <w:rsid w:val="005926CF"/>
    <w:rsid w:val="0059343B"/>
    <w:rsid w:val="00593D48"/>
    <w:rsid w:val="0059407F"/>
    <w:rsid w:val="00594680"/>
    <w:rsid w:val="0059471C"/>
    <w:rsid w:val="005948E3"/>
    <w:rsid w:val="00594985"/>
    <w:rsid w:val="005952E3"/>
    <w:rsid w:val="00596005"/>
    <w:rsid w:val="00597495"/>
    <w:rsid w:val="005A0630"/>
    <w:rsid w:val="005A0F33"/>
    <w:rsid w:val="005A14C7"/>
    <w:rsid w:val="005A1522"/>
    <w:rsid w:val="005A2773"/>
    <w:rsid w:val="005A312D"/>
    <w:rsid w:val="005A4BF9"/>
    <w:rsid w:val="005A5639"/>
    <w:rsid w:val="005A5932"/>
    <w:rsid w:val="005A5CAC"/>
    <w:rsid w:val="005A68DB"/>
    <w:rsid w:val="005A6C70"/>
    <w:rsid w:val="005B016A"/>
    <w:rsid w:val="005B0379"/>
    <w:rsid w:val="005B0761"/>
    <w:rsid w:val="005B0779"/>
    <w:rsid w:val="005B0A49"/>
    <w:rsid w:val="005B0B5F"/>
    <w:rsid w:val="005B0CA0"/>
    <w:rsid w:val="005B1568"/>
    <w:rsid w:val="005B1DE8"/>
    <w:rsid w:val="005B2248"/>
    <w:rsid w:val="005B3A6C"/>
    <w:rsid w:val="005B3BD2"/>
    <w:rsid w:val="005B3D10"/>
    <w:rsid w:val="005B47B8"/>
    <w:rsid w:val="005B49A3"/>
    <w:rsid w:val="005B51EF"/>
    <w:rsid w:val="005B56C2"/>
    <w:rsid w:val="005B57B0"/>
    <w:rsid w:val="005B5973"/>
    <w:rsid w:val="005B5B46"/>
    <w:rsid w:val="005B5B73"/>
    <w:rsid w:val="005B5BAF"/>
    <w:rsid w:val="005B5CF0"/>
    <w:rsid w:val="005B65D1"/>
    <w:rsid w:val="005B7445"/>
    <w:rsid w:val="005C0066"/>
    <w:rsid w:val="005C0143"/>
    <w:rsid w:val="005C0737"/>
    <w:rsid w:val="005C12D5"/>
    <w:rsid w:val="005C18EB"/>
    <w:rsid w:val="005C23C6"/>
    <w:rsid w:val="005C2570"/>
    <w:rsid w:val="005C2EC8"/>
    <w:rsid w:val="005C34BC"/>
    <w:rsid w:val="005C3D61"/>
    <w:rsid w:val="005C4388"/>
    <w:rsid w:val="005C47B6"/>
    <w:rsid w:val="005C519F"/>
    <w:rsid w:val="005C5340"/>
    <w:rsid w:val="005C5368"/>
    <w:rsid w:val="005C5C52"/>
    <w:rsid w:val="005C611F"/>
    <w:rsid w:val="005C699A"/>
    <w:rsid w:val="005C79F2"/>
    <w:rsid w:val="005D010C"/>
    <w:rsid w:val="005D01C5"/>
    <w:rsid w:val="005D06A0"/>
    <w:rsid w:val="005D15DD"/>
    <w:rsid w:val="005D1E8E"/>
    <w:rsid w:val="005D21A5"/>
    <w:rsid w:val="005D2211"/>
    <w:rsid w:val="005D3A2C"/>
    <w:rsid w:val="005D3ACD"/>
    <w:rsid w:val="005D3F8F"/>
    <w:rsid w:val="005D45FE"/>
    <w:rsid w:val="005D472C"/>
    <w:rsid w:val="005D50A9"/>
    <w:rsid w:val="005D53B2"/>
    <w:rsid w:val="005D53D0"/>
    <w:rsid w:val="005D53F0"/>
    <w:rsid w:val="005D5793"/>
    <w:rsid w:val="005D6AAF"/>
    <w:rsid w:val="005D72BE"/>
    <w:rsid w:val="005D739D"/>
    <w:rsid w:val="005E053A"/>
    <w:rsid w:val="005E06DF"/>
    <w:rsid w:val="005E1452"/>
    <w:rsid w:val="005E2365"/>
    <w:rsid w:val="005E27A5"/>
    <w:rsid w:val="005E2D48"/>
    <w:rsid w:val="005E3334"/>
    <w:rsid w:val="005E372A"/>
    <w:rsid w:val="005E3A75"/>
    <w:rsid w:val="005E41A7"/>
    <w:rsid w:val="005E4ABA"/>
    <w:rsid w:val="005E4B35"/>
    <w:rsid w:val="005E4E51"/>
    <w:rsid w:val="005E4EED"/>
    <w:rsid w:val="005E5856"/>
    <w:rsid w:val="005E5889"/>
    <w:rsid w:val="005E60F7"/>
    <w:rsid w:val="005E61DA"/>
    <w:rsid w:val="005E674A"/>
    <w:rsid w:val="005E6C24"/>
    <w:rsid w:val="005E7117"/>
    <w:rsid w:val="005F0B14"/>
    <w:rsid w:val="005F1388"/>
    <w:rsid w:val="005F1DA3"/>
    <w:rsid w:val="005F20BF"/>
    <w:rsid w:val="005F21C3"/>
    <w:rsid w:val="005F25B8"/>
    <w:rsid w:val="005F2B12"/>
    <w:rsid w:val="005F2BFB"/>
    <w:rsid w:val="005F2F72"/>
    <w:rsid w:val="005F3370"/>
    <w:rsid w:val="005F35AB"/>
    <w:rsid w:val="005F39BD"/>
    <w:rsid w:val="005F3F0A"/>
    <w:rsid w:val="005F40C1"/>
    <w:rsid w:val="005F4431"/>
    <w:rsid w:val="005F45AD"/>
    <w:rsid w:val="005F6072"/>
    <w:rsid w:val="005F6C0C"/>
    <w:rsid w:val="005F6DAC"/>
    <w:rsid w:val="005F71CB"/>
    <w:rsid w:val="005F756E"/>
    <w:rsid w:val="005F7D93"/>
    <w:rsid w:val="005F7E14"/>
    <w:rsid w:val="00600112"/>
    <w:rsid w:val="00600800"/>
    <w:rsid w:val="006011FB"/>
    <w:rsid w:val="00601501"/>
    <w:rsid w:val="006020FB"/>
    <w:rsid w:val="0060217E"/>
    <w:rsid w:val="006023B8"/>
    <w:rsid w:val="00602425"/>
    <w:rsid w:val="00602A05"/>
    <w:rsid w:val="00604584"/>
    <w:rsid w:val="00605201"/>
    <w:rsid w:val="00605BE0"/>
    <w:rsid w:val="00605C32"/>
    <w:rsid w:val="00605CCB"/>
    <w:rsid w:val="00606173"/>
    <w:rsid w:val="0060735C"/>
    <w:rsid w:val="00607522"/>
    <w:rsid w:val="00607ABF"/>
    <w:rsid w:val="00607C7C"/>
    <w:rsid w:val="00607CFD"/>
    <w:rsid w:val="006100DC"/>
    <w:rsid w:val="00610D45"/>
    <w:rsid w:val="006116BF"/>
    <w:rsid w:val="006126B5"/>
    <w:rsid w:val="00612B3B"/>
    <w:rsid w:val="00612B68"/>
    <w:rsid w:val="00612C3D"/>
    <w:rsid w:val="00613668"/>
    <w:rsid w:val="00613670"/>
    <w:rsid w:val="006136A8"/>
    <w:rsid w:val="00613A30"/>
    <w:rsid w:val="00613B83"/>
    <w:rsid w:val="00613D73"/>
    <w:rsid w:val="00614209"/>
    <w:rsid w:val="0061470A"/>
    <w:rsid w:val="00614805"/>
    <w:rsid w:val="00615003"/>
    <w:rsid w:val="00615196"/>
    <w:rsid w:val="00615D29"/>
    <w:rsid w:val="00615E62"/>
    <w:rsid w:val="00616213"/>
    <w:rsid w:val="00617F70"/>
    <w:rsid w:val="00620489"/>
    <w:rsid w:val="00621121"/>
    <w:rsid w:val="0062156B"/>
    <w:rsid w:val="00621895"/>
    <w:rsid w:val="00621F0D"/>
    <w:rsid w:val="00621FED"/>
    <w:rsid w:val="00622D15"/>
    <w:rsid w:val="00622DD4"/>
    <w:rsid w:val="00622F4F"/>
    <w:rsid w:val="00624068"/>
    <w:rsid w:val="0062422E"/>
    <w:rsid w:val="006243F6"/>
    <w:rsid w:val="00624576"/>
    <w:rsid w:val="00624620"/>
    <w:rsid w:val="00625852"/>
    <w:rsid w:val="006260FB"/>
    <w:rsid w:val="0062678B"/>
    <w:rsid w:val="00626A6F"/>
    <w:rsid w:val="006271F7"/>
    <w:rsid w:val="006272BD"/>
    <w:rsid w:val="00630557"/>
    <w:rsid w:val="006307E8"/>
    <w:rsid w:val="00630AE7"/>
    <w:rsid w:val="00632C89"/>
    <w:rsid w:val="00633300"/>
    <w:rsid w:val="00634EB0"/>
    <w:rsid w:val="006352AA"/>
    <w:rsid w:val="006353A6"/>
    <w:rsid w:val="00635445"/>
    <w:rsid w:val="00635536"/>
    <w:rsid w:val="006361FA"/>
    <w:rsid w:val="00636B0A"/>
    <w:rsid w:val="00636B14"/>
    <w:rsid w:val="006377A5"/>
    <w:rsid w:val="00637BB1"/>
    <w:rsid w:val="00640358"/>
    <w:rsid w:val="00640408"/>
    <w:rsid w:val="00640429"/>
    <w:rsid w:val="006407C6"/>
    <w:rsid w:val="006407DC"/>
    <w:rsid w:val="00640B54"/>
    <w:rsid w:val="00640F5A"/>
    <w:rsid w:val="00641011"/>
    <w:rsid w:val="00642321"/>
    <w:rsid w:val="00643ECF"/>
    <w:rsid w:val="00644799"/>
    <w:rsid w:val="0064613E"/>
    <w:rsid w:val="006500B4"/>
    <w:rsid w:val="006502E5"/>
    <w:rsid w:val="00650C19"/>
    <w:rsid w:val="00651560"/>
    <w:rsid w:val="00651AF2"/>
    <w:rsid w:val="0065249D"/>
    <w:rsid w:val="00654C7F"/>
    <w:rsid w:val="006570C4"/>
    <w:rsid w:val="0065720E"/>
    <w:rsid w:val="006572FC"/>
    <w:rsid w:val="006576F5"/>
    <w:rsid w:val="00657748"/>
    <w:rsid w:val="00657ACF"/>
    <w:rsid w:val="00657DDA"/>
    <w:rsid w:val="00660230"/>
    <w:rsid w:val="006613E0"/>
    <w:rsid w:val="00661D0C"/>
    <w:rsid w:val="00662313"/>
    <w:rsid w:val="0066281C"/>
    <w:rsid w:val="00662C39"/>
    <w:rsid w:val="00662FAD"/>
    <w:rsid w:val="0066454B"/>
    <w:rsid w:val="00664D41"/>
    <w:rsid w:val="006657CA"/>
    <w:rsid w:val="00666595"/>
    <w:rsid w:val="0066663C"/>
    <w:rsid w:val="0066697A"/>
    <w:rsid w:val="00666FED"/>
    <w:rsid w:val="006672F2"/>
    <w:rsid w:val="0066739E"/>
    <w:rsid w:val="0066747F"/>
    <w:rsid w:val="00671548"/>
    <w:rsid w:val="0067184E"/>
    <w:rsid w:val="006726DF"/>
    <w:rsid w:val="00672AE6"/>
    <w:rsid w:val="00673ABB"/>
    <w:rsid w:val="006741AB"/>
    <w:rsid w:val="00674EDD"/>
    <w:rsid w:val="00674F77"/>
    <w:rsid w:val="00675F53"/>
    <w:rsid w:val="00676134"/>
    <w:rsid w:val="006763BC"/>
    <w:rsid w:val="00677043"/>
    <w:rsid w:val="00677271"/>
    <w:rsid w:val="00677BCD"/>
    <w:rsid w:val="00680032"/>
    <w:rsid w:val="00680309"/>
    <w:rsid w:val="00680A4C"/>
    <w:rsid w:val="00680DE1"/>
    <w:rsid w:val="006818B4"/>
    <w:rsid w:val="00681DB3"/>
    <w:rsid w:val="00684CED"/>
    <w:rsid w:val="00684D82"/>
    <w:rsid w:val="00684DB8"/>
    <w:rsid w:val="00684DD8"/>
    <w:rsid w:val="00684E70"/>
    <w:rsid w:val="006853F9"/>
    <w:rsid w:val="0068557C"/>
    <w:rsid w:val="0068570D"/>
    <w:rsid w:val="006866DB"/>
    <w:rsid w:val="00686891"/>
    <w:rsid w:val="00686B2C"/>
    <w:rsid w:val="00686D41"/>
    <w:rsid w:val="0068706D"/>
    <w:rsid w:val="00687152"/>
    <w:rsid w:val="0068734D"/>
    <w:rsid w:val="006875B7"/>
    <w:rsid w:val="00690727"/>
    <w:rsid w:val="00690A30"/>
    <w:rsid w:val="0069116B"/>
    <w:rsid w:val="006911AE"/>
    <w:rsid w:val="00692892"/>
    <w:rsid w:val="0069379B"/>
    <w:rsid w:val="00693EFF"/>
    <w:rsid w:val="006941E7"/>
    <w:rsid w:val="0069471E"/>
    <w:rsid w:val="00694DC7"/>
    <w:rsid w:val="00694FED"/>
    <w:rsid w:val="006963F0"/>
    <w:rsid w:val="00696A96"/>
    <w:rsid w:val="00697630"/>
    <w:rsid w:val="00697A69"/>
    <w:rsid w:val="006A0611"/>
    <w:rsid w:val="006A1443"/>
    <w:rsid w:val="006A1BC3"/>
    <w:rsid w:val="006A1D82"/>
    <w:rsid w:val="006A20AA"/>
    <w:rsid w:val="006A2411"/>
    <w:rsid w:val="006A2BF3"/>
    <w:rsid w:val="006A38EF"/>
    <w:rsid w:val="006A3D37"/>
    <w:rsid w:val="006A4486"/>
    <w:rsid w:val="006A4F12"/>
    <w:rsid w:val="006A559D"/>
    <w:rsid w:val="006A7379"/>
    <w:rsid w:val="006A76B6"/>
    <w:rsid w:val="006A7D29"/>
    <w:rsid w:val="006B016B"/>
    <w:rsid w:val="006B0849"/>
    <w:rsid w:val="006B093F"/>
    <w:rsid w:val="006B0ED2"/>
    <w:rsid w:val="006B0EF0"/>
    <w:rsid w:val="006B1323"/>
    <w:rsid w:val="006B1A11"/>
    <w:rsid w:val="006B304C"/>
    <w:rsid w:val="006B3543"/>
    <w:rsid w:val="006B522E"/>
    <w:rsid w:val="006B69AA"/>
    <w:rsid w:val="006B72E6"/>
    <w:rsid w:val="006B7444"/>
    <w:rsid w:val="006B7D59"/>
    <w:rsid w:val="006C06A3"/>
    <w:rsid w:val="006C06F7"/>
    <w:rsid w:val="006C0885"/>
    <w:rsid w:val="006C18C1"/>
    <w:rsid w:val="006C19F1"/>
    <w:rsid w:val="006C1AB6"/>
    <w:rsid w:val="006C2C49"/>
    <w:rsid w:val="006C2FEA"/>
    <w:rsid w:val="006C3378"/>
    <w:rsid w:val="006C3A2F"/>
    <w:rsid w:val="006C3B44"/>
    <w:rsid w:val="006C40CA"/>
    <w:rsid w:val="006C4996"/>
    <w:rsid w:val="006C4C5C"/>
    <w:rsid w:val="006C4FF9"/>
    <w:rsid w:val="006C5DFB"/>
    <w:rsid w:val="006C6579"/>
    <w:rsid w:val="006C6DE2"/>
    <w:rsid w:val="006C7871"/>
    <w:rsid w:val="006C7AFA"/>
    <w:rsid w:val="006D017E"/>
    <w:rsid w:val="006D0C02"/>
    <w:rsid w:val="006D0C07"/>
    <w:rsid w:val="006D148A"/>
    <w:rsid w:val="006D2456"/>
    <w:rsid w:val="006D27DA"/>
    <w:rsid w:val="006D34FA"/>
    <w:rsid w:val="006D39D7"/>
    <w:rsid w:val="006D4C83"/>
    <w:rsid w:val="006D4E55"/>
    <w:rsid w:val="006D598A"/>
    <w:rsid w:val="006D5B18"/>
    <w:rsid w:val="006D60E3"/>
    <w:rsid w:val="006D70D0"/>
    <w:rsid w:val="006E0BD1"/>
    <w:rsid w:val="006E0D7A"/>
    <w:rsid w:val="006E0FE6"/>
    <w:rsid w:val="006E155E"/>
    <w:rsid w:val="006E160B"/>
    <w:rsid w:val="006E2982"/>
    <w:rsid w:val="006E2A5E"/>
    <w:rsid w:val="006E2C17"/>
    <w:rsid w:val="006E309D"/>
    <w:rsid w:val="006E35B7"/>
    <w:rsid w:val="006E3E6E"/>
    <w:rsid w:val="006E4016"/>
    <w:rsid w:val="006E48FD"/>
    <w:rsid w:val="006E6056"/>
    <w:rsid w:val="006E6593"/>
    <w:rsid w:val="006E6C08"/>
    <w:rsid w:val="006E70A5"/>
    <w:rsid w:val="006F099A"/>
    <w:rsid w:val="006F0A09"/>
    <w:rsid w:val="006F0F4A"/>
    <w:rsid w:val="006F1208"/>
    <w:rsid w:val="006F15E7"/>
    <w:rsid w:val="006F19A4"/>
    <w:rsid w:val="006F1C92"/>
    <w:rsid w:val="006F2914"/>
    <w:rsid w:val="006F2C1F"/>
    <w:rsid w:val="006F4090"/>
    <w:rsid w:val="006F4298"/>
    <w:rsid w:val="006F46BB"/>
    <w:rsid w:val="006F76FA"/>
    <w:rsid w:val="006F796A"/>
    <w:rsid w:val="006F7DC4"/>
    <w:rsid w:val="007000CE"/>
    <w:rsid w:val="00700629"/>
    <w:rsid w:val="00700C6F"/>
    <w:rsid w:val="00701AC3"/>
    <w:rsid w:val="00701E91"/>
    <w:rsid w:val="00703877"/>
    <w:rsid w:val="007042BF"/>
    <w:rsid w:val="00704447"/>
    <w:rsid w:val="00704642"/>
    <w:rsid w:val="00704722"/>
    <w:rsid w:val="0070480C"/>
    <w:rsid w:val="00705AE0"/>
    <w:rsid w:val="007075C4"/>
    <w:rsid w:val="00707838"/>
    <w:rsid w:val="0071093D"/>
    <w:rsid w:val="0071101E"/>
    <w:rsid w:val="0071173E"/>
    <w:rsid w:val="00711A9B"/>
    <w:rsid w:val="00712030"/>
    <w:rsid w:val="00712295"/>
    <w:rsid w:val="007125DB"/>
    <w:rsid w:val="007131C0"/>
    <w:rsid w:val="00713320"/>
    <w:rsid w:val="0071407C"/>
    <w:rsid w:val="00715A06"/>
    <w:rsid w:val="00715B75"/>
    <w:rsid w:val="00715B7F"/>
    <w:rsid w:val="00715DC7"/>
    <w:rsid w:val="007164FE"/>
    <w:rsid w:val="00716DB4"/>
    <w:rsid w:val="00717BB4"/>
    <w:rsid w:val="00720D6F"/>
    <w:rsid w:val="00720EA1"/>
    <w:rsid w:val="00720FF9"/>
    <w:rsid w:val="007211A1"/>
    <w:rsid w:val="007215B6"/>
    <w:rsid w:val="00722D92"/>
    <w:rsid w:val="0072300E"/>
    <w:rsid w:val="007234F7"/>
    <w:rsid w:val="00723A9E"/>
    <w:rsid w:val="007243C7"/>
    <w:rsid w:val="00724A78"/>
    <w:rsid w:val="0072549B"/>
    <w:rsid w:val="0072580F"/>
    <w:rsid w:val="00725ACE"/>
    <w:rsid w:val="00725C52"/>
    <w:rsid w:val="00725DAC"/>
    <w:rsid w:val="00725E20"/>
    <w:rsid w:val="00726D70"/>
    <w:rsid w:val="007275E6"/>
    <w:rsid w:val="007275EA"/>
    <w:rsid w:val="00730495"/>
    <w:rsid w:val="0073068C"/>
    <w:rsid w:val="007311B1"/>
    <w:rsid w:val="007315EB"/>
    <w:rsid w:val="007319B3"/>
    <w:rsid w:val="00731F37"/>
    <w:rsid w:val="00732244"/>
    <w:rsid w:val="0073338C"/>
    <w:rsid w:val="00733A5A"/>
    <w:rsid w:val="0073431F"/>
    <w:rsid w:val="007357BB"/>
    <w:rsid w:val="00736672"/>
    <w:rsid w:val="007366DB"/>
    <w:rsid w:val="007378AA"/>
    <w:rsid w:val="007410C7"/>
    <w:rsid w:val="00741E9D"/>
    <w:rsid w:val="00742A2C"/>
    <w:rsid w:val="0074409A"/>
    <w:rsid w:val="00744AD1"/>
    <w:rsid w:val="00744FC6"/>
    <w:rsid w:val="00745FCF"/>
    <w:rsid w:val="0074658A"/>
    <w:rsid w:val="007466DB"/>
    <w:rsid w:val="00746C71"/>
    <w:rsid w:val="00747959"/>
    <w:rsid w:val="00747BF2"/>
    <w:rsid w:val="00747D05"/>
    <w:rsid w:val="00747F14"/>
    <w:rsid w:val="00747FA0"/>
    <w:rsid w:val="00750E06"/>
    <w:rsid w:val="0075150A"/>
    <w:rsid w:val="00751A05"/>
    <w:rsid w:val="00751E61"/>
    <w:rsid w:val="00753094"/>
    <w:rsid w:val="00753174"/>
    <w:rsid w:val="00753E38"/>
    <w:rsid w:val="0075467C"/>
    <w:rsid w:val="00754D57"/>
    <w:rsid w:val="007554AB"/>
    <w:rsid w:val="0075656A"/>
    <w:rsid w:val="00756A9C"/>
    <w:rsid w:val="00757501"/>
    <w:rsid w:val="00757F4D"/>
    <w:rsid w:val="007607A5"/>
    <w:rsid w:val="007611FC"/>
    <w:rsid w:val="0076142F"/>
    <w:rsid w:val="007614CC"/>
    <w:rsid w:val="007615A5"/>
    <w:rsid w:val="00761AA7"/>
    <w:rsid w:val="00761AD2"/>
    <w:rsid w:val="00762034"/>
    <w:rsid w:val="00763DA2"/>
    <w:rsid w:val="00764A5F"/>
    <w:rsid w:val="007654A2"/>
    <w:rsid w:val="00766445"/>
    <w:rsid w:val="00767289"/>
    <w:rsid w:val="0077048F"/>
    <w:rsid w:val="007718EB"/>
    <w:rsid w:val="00771A23"/>
    <w:rsid w:val="00771ECC"/>
    <w:rsid w:val="00772B91"/>
    <w:rsid w:val="00772F0A"/>
    <w:rsid w:val="00773239"/>
    <w:rsid w:val="00773661"/>
    <w:rsid w:val="00775C86"/>
    <w:rsid w:val="00775CFA"/>
    <w:rsid w:val="00776BC7"/>
    <w:rsid w:val="0077724E"/>
    <w:rsid w:val="007808B5"/>
    <w:rsid w:val="007812E0"/>
    <w:rsid w:val="007819C0"/>
    <w:rsid w:val="00781AA9"/>
    <w:rsid w:val="00781E3D"/>
    <w:rsid w:val="007825F2"/>
    <w:rsid w:val="00782E41"/>
    <w:rsid w:val="00783AD2"/>
    <w:rsid w:val="00785DFA"/>
    <w:rsid w:val="007868C3"/>
    <w:rsid w:val="0078692B"/>
    <w:rsid w:val="00787644"/>
    <w:rsid w:val="00787723"/>
    <w:rsid w:val="00787A33"/>
    <w:rsid w:val="0079094A"/>
    <w:rsid w:val="00790A46"/>
    <w:rsid w:val="007912BA"/>
    <w:rsid w:val="007914A7"/>
    <w:rsid w:val="00791F00"/>
    <w:rsid w:val="0079237A"/>
    <w:rsid w:val="00792541"/>
    <w:rsid w:val="00792960"/>
    <w:rsid w:val="007952B4"/>
    <w:rsid w:val="007954B3"/>
    <w:rsid w:val="00795A30"/>
    <w:rsid w:val="00796377"/>
    <w:rsid w:val="0079796B"/>
    <w:rsid w:val="007979CC"/>
    <w:rsid w:val="00797C6C"/>
    <w:rsid w:val="007A0F8B"/>
    <w:rsid w:val="007A155E"/>
    <w:rsid w:val="007A286C"/>
    <w:rsid w:val="007A2977"/>
    <w:rsid w:val="007A2B84"/>
    <w:rsid w:val="007A2D8A"/>
    <w:rsid w:val="007A2DBD"/>
    <w:rsid w:val="007A390F"/>
    <w:rsid w:val="007A3ABF"/>
    <w:rsid w:val="007A44D0"/>
    <w:rsid w:val="007A4F52"/>
    <w:rsid w:val="007A512D"/>
    <w:rsid w:val="007A6B7C"/>
    <w:rsid w:val="007A796E"/>
    <w:rsid w:val="007B03F4"/>
    <w:rsid w:val="007B07F1"/>
    <w:rsid w:val="007B0AF3"/>
    <w:rsid w:val="007B0BB1"/>
    <w:rsid w:val="007B1756"/>
    <w:rsid w:val="007B23FA"/>
    <w:rsid w:val="007B24D3"/>
    <w:rsid w:val="007B26FB"/>
    <w:rsid w:val="007B2EE9"/>
    <w:rsid w:val="007B3312"/>
    <w:rsid w:val="007B3646"/>
    <w:rsid w:val="007B38A7"/>
    <w:rsid w:val="007B38FC"/>
    <w:rsid w:val="007B5224"/>
    <w:rsid w:val="007B5252"/>
    <w:rsid w:val="007B5C81"/>
    <w:rsid w:val="007B7855"/>
    <w:rsid w:val="007B78D0"/>
    <w:rsid w:val="007C26BA"/>
    <w:rsid w:val="007C2AB5"/>
    <w:rsid w:val="007C3975"/>
    <w:rsid w:val="007C3F09"/>
    <w:rsid w:val="007C4154"/>
    <w:rsid w:val="007C4509"/>
    <w:rsid w:val="007C5D5B"/>
    <w:rsid w:val="007C7323"/>
    <w:rsid w:val="007D04FC"/>
    <w:rsid w:val="007D063C"/>
    <w:rsid w:val="007D1725"/>
    <w:rsid w:val="007D17FD"/>
    <w:rsid w:val="007D19E9"/>
    <w:rsid w:val="007D2F78"/>
    <w:rsid w:val="007D33A5"/>
    <w:rsid w:val="007D3EE4"/>
    <w:rsid w:val="007D4034"/>
    <w:rsid w:val="007D47C5"/>
    <w:rsid w:val="007D56BE"/>
    <w:rsid w:val="007D60B8"/>
    <w:rsid w:val="007D6314"/>
    <w:rsid w:val="007D643A"/>
    <w:rsid w:val="007D6630"/>
    <w:rsid w:val="007D6E54"/>
    <w:rsid w:val="007D719B"/>
    <w:rsid w:val="007D75A7"/>
    <w:rsid w:val="007E0924"/>
    <w:rsid w:val="007E0AB0"/>
    <w:rsid w:val="007E1460"/>
    <w:rsid w:val="007E185E"/>
    <w:rsid w:val="007E18CE"/>
    <w:rsid w:val="007E208A"/>
    <w:rsid w:val="007E2377"/>
    <w:rsid w:val="007E309F"/>
    <w:rsid w:val="007E310A"/>
    <w:rsid w:val="007E3E53"/>
    <w:rsid w:val="007E3F7B"/>
    <w:rsid w:val="007E4634"/>
    <w:rsid w:val="007E47D9"/>
    <w:rsid w:val="007E5C9B"/>
    <w:rsid w:val="007E6D53"/>
    <w:rsid w:val="007F03A4"/>
    <w:rsid w:val="007F062C"/>
    <w:rsid w:val="007F0BCF"/>
    <w:rsid w:val="007F1007"/>
    <w:rsid w:val="007F1435"/>
    <w:rsid w:val="007F17EB"/>
    <w:rsid w:val="007F31A8"/>
    <w:rsid w:val="007F4370"/>
    <w:rsid w:val="007F4A03"/>
    <w:rsid w:val="007F533A"/>
    <w:rsid w:val="007F69AF"/>
    <w:rsid w:val="007F6E33"/>
    <w:rsid w:val="007F7ADF"/>
    <w:rsid w:val="00800345"/>
    <w:rsid w:val="00800AE5"/>
    <w:rsid w:val="00800C8C"/>
    <w:rsid w:val="00801A4A"/>
    <w:rsid w:val="00801EF5"/>
    <w:rsid w:val="00801FB9"/>
    <w:rsid w:val="00802040"/>
    <w:rsid w:val="00802C13"/>
    <w:rsid w:val="00802E47"/>
    <w:rsid w:val="00803508"/>
    <w:rsid w:val="008039DC"/>
    <w:rsid w:val="00803BEE"/>
    <w:rsid w:val="00804159"/>
    <w:rsid w:val="0080489D"/>
    <w:rsid w:val="00804B62"/>
    <w:rsid w:val="008064F8"/>
    <w:rsid w:val="00806B30"/>
    <w:rsid w:val="008072D8"/>
    <w:rsid w:val="00807772"/>
    <w:rsid w:val="00807AD7"/>
    <w:rsid w:val="008100E7"/>
    <w:rsid w:val="00810133"/>
    <w:rsid w:val="00810669"/>
    <w:rsid w:val="00810C3F"/>
    <w:rsid w:val="008124F6"/>
    <w:rsid w:val="00812A93"/>
    <w:rsid w:val="00814123"/>
    <w:rsid w:val="00815BEA"/>
    <w:rsid w:val="00815E2E"/>
    <w:rsid w:val="00816F15"/>
    <w:rsid w:val="008174FD"/>
    <w:rsid w:val="00820960"/>
    <w:rsid w:val="00820F54"/>
    <w:rsid w:val="00821B01"/>
    <w:rsid w:val="00821F2D"/>
    <w:rsid w:val="0082253C"/>
    <w:rsid w:val="00823910"/>
    <w:rsid w:val="00824074"/>
    <w:rsid w:val="00824480"/>
    <w:rsid w:val="0082455A"/>
    <w:rsid w:val="0082457D"/>
    <w:rsid w:val="00825D5A"/>
    <w:rsid w:val="00825EAF"/>
    <w:rsid w:val="00825ED3"/>
    <w:rsid w:val="00825F1F"/>
    <w:rsid w:val="008263DF"/>
    <w:rsid w:val="00826D42"/>
    <w:rsid w:val="00827813"/>
    <w:rsid w:val="0083049C"/>
    <w:rsid w:val="00830995"/>
    <w:rsid w:val="00830D85"/>
    <w:rsid w:val="00832992"/>
    <w:rsid w:val="00832A2B"/>
    <w:rsid w:val="00832C35"/>
    <w:rsid w:val="00832CCD"/>
    <w:rsid w:val="00833790"/>
    <w:rsid w:val="0083456C"/>
    <w:rsid w:val="00834647"/>
    <w:rsid w:val="00834F00"/>
    <w:rsid w:val="00835731"/>
    <w:rsid w:val="00835A5A"/>
    <w:rsid w:val="00835BE2"/>
    <w:rsid w:val="00835D54"/>
    <w:rsid w:val="00835DCD"/>
    <w:rsid w:val="00837AE3"/>
    <w:rsid w:val="00837F27"/>
    <w:rsid w:val="008401C5"/>
    <w:rsid w:val="00840297"/>
    <w:rsid w:val="00840823"/>
    <w:rsid w:val="008410A8"/>
    <w:rsid w:val="0084180D"/>
    <w:rsid w:val="008448A2"/>
    <w:rsid w:val="00845726"/>
    <w:rsid w:val="00845928"/>
    <w:rsid w:val="00845FEC"/>
    <w:rsid w:val="0084608D"/>
    <w:rsid w:val="00847570"/>
    <w:rsid w:val="008479E1"/>
    <w:rsid w:val="00847D0C"/>
    <w:rsid w:val="008507B2"/>
    <w:rsid w:val="008517EB"/>
    <w:rsid w:val="00851E48"/>
    <w:rsid w:val="008525F0"/>
    <w:rsid w:val="00852E02"/>
    <w:rsid w:val="00853207"/>
    <w:rsid w:val="008537E0"/>
    <w:rsid w:val="00854E5A"/>
    <w:rsid w:val="0085631B"/>
    <w:rsid w:val="00856866"/>
    <w:rsid w:val="00856B9C"/>
    <w:rsid w:val="00857252"/>
    <w:rsid w:val="00857C07"/>
    <w:rsid w:val="008600CC"/>
    <w:rsid w:val="0086038A"/>
    <w:rsid w:val="0086289B"/>
    <w:rsid w:val="00862A4C"/>
    <w:rsid w:val="00863CC4"/>
    <w:rsid w:val="00864965"/>
    <w:rsid w:val="00864B7E"/>
    <w:rsid w:val="00864F09"/>
    <w:rsid w:val="00865EB5"/>
    <w:rsid w:val="00866175"/>
    <w:rsid w:val="0086627D"/>
    <w:rsid w:val="008662FF"/>
    <w:rsid w:val="0086643B"/>
    <w:rsid w:val="0086679E"/>
    <w:rsid w:val="00871F87"/>
    <w:rsid w:val="00872870"/>
    <w:rsid w:val="00872D37"/>
    <w:rsid w:val="008734C1"/>
    <w:rsid w:val="008736F2"/>
    <w:rsid w:val="00873B9D"/>
    <w:rsid w:val="00873D01"/>
    <w:rsid w:val="00873D86"/>
    <w:rsid w:val="00873E12"/>
    <w:rsid w:val="00874259"/>
    <w:rsid w:val="00874D50"/>
    <w:rsid w:val="00874DB3"/>
    <w:rsid w:val="008762BB"/>
    <w:rsid w:val="008779B8"/>
    <w:rsid w:val="00877D71"/>
    <w:rsid w:val="00880262"/>
    <w:rsid w:val="008802B0"/>
    <w:rsid w:val="0088070F"/>
    <w:rsid w:val="00880DD9"/>
    <w:rsid w:val="008812B2"/>
    <w:rsid w:val="00881324"/>
    <w:rsid w:val="0088171C"/>
    <w:rsid w:val="00881D46"/>
    <w:rsid w:val="00882012"/>
    <w:rsid w:val="008824CB"/>
    <w:rsid w:val="00882FC1"/>
    <w:rsid w:val="0088369E"/>
    <w:rsid w:val="00884185"/>
    <w:rsid w:val="00884F0C"/>
    <w:rsid w:val="00884FBE"/>
    <w:rsid w:val="0088531C"/>
    <w:rsid w:val="0088703A"/>
    <w:rsid w:val="00887668"/>
    <w:rsid w:val="00887801"/>
    <w:rsid w:val="008900A8"/>
    <w:rsid w:val="00891A8D"/>
    <w:rsid w:val="00891B70"/>
    <w:rsid w:val="00893236"/>
    <w:rsid w:val="00893AE9"/>
    <w:rsid w:val="00894458"/>
    <w:rsid w:val="00895265"/>
    <w:rsid w:val="00896072"/>
    <w:rsid w:val="00896439"/>
    <w:rsid w:val="00896EB6"/>
    <w:rsid w:val="00897375"/>
    <w:rsid w:val="00897777"/>
    <w:rsid w:val="008A048A"/>
    <w:rsid w:val="008A09BB"/>
    <w:rsid w:val="008A28CB"/>
    <w:rsid w:val="008A2AA6"/>
    <w:rsid w:val="008A2C2C"/>
    <w:rsid w:val="008A2F69"/>
    <w:rsid w:val="008A3758"/>
    <w:rsid w:val="008A3924"/>
    <w:rsid w:val="008A3961"/>
    <w:rsid w:val="008A3D91"/>
    <w:rsid w:val="008A417E"/>
    <w:rsid w:val="008A4E50"/>
    <w:rsid w:val="008A5458"/>
    <w:rsid w:val="008A5711"/>
    <w:rsid w:val="008A6229"/>
    <w:rsid w:val="008A6FDE"/>
    <w:rsid w:val="008A7012"/>
    <w:rsid w:val="008A7D3A"/>
    <w:rsid w:val="008A7F91"/>
    <w:rsid w:val="008B06F6"/>
    <w:rsid w:val="008B0A07"/>
    <w:rsid w:val="008B0AFF"/>
    <w:rsid w:val="008B0BEB"/>
    <w:rsid w:val="008B125A"/>
    <w:rsid w:val="008B1410"/>
    <w:rsid w:val="008B259A"/>
    <w:rsid w:val="008B27D7"/>
    <w:rsid w:val="008B2FCC"/>
    <w:rsid w:val="008B30B7"/>
    <w:rsid w:val="008B3227"/>
    <w:rsid w:val="008B3574"/>
    <w:rsid w:val="008B3B5F"/>
    <w:rsid w:val="008B3C6D"/>
    <w:rsid w:val="008B5FBF"/>
    <w:rsid w:val="008B65FD"/>
    <w:rsid w:val="008B6AF3"/>
    <w:rsid w:val="008B7FBE"/>
    <w:rsid w:val="008C01E6"/>
    <w:rsid w:val="008C050B"/>
    <w:rsid w:val="008C2B05"/>
    <w:rsid w:val="008C37F9"/>
    <w:rsid w:val="008C3B4D"/>
    <w:rsid w:val="008C4084"/>
    <w:rsid w:val="008C51C4"/>
    <w:rsid w:val="008C5813"/>
    <w:rsid w:val="008C6E32"/>
    <w:rsid w:val="008D1157"/>
    <w:rsid w:val="008D13CF"/>
    <w:rsid w:val="008D13F7"/>
    <w:rsid w:val="008D1458"/>
    <w:rsid w:val="008D175F"/>
    <w:rsid w:val="008D1980"/>
    <w:rsid w:val="008D255F"/>
    <w:rsid w:val="008D2715"/>
    <w:rsid w:val="008D2981"/>
    <w:rsid w:val="008D2C84"/>
    <w:rsid w:val="008D34DF"/>
    <w:rsid w:val="008D3DF7"/>
    <w:rsid w:val="008D428C"/>
    <w:rsid w:val="008D454C"/>
    <w:rsid w:val="008D56D9"/>
    <w:rsid w:val="008D7CC3"/>
    <w:rsid w:val="008E0002"/>
    <w:rsid w:val="008E0949"/>
    <w:rsid w:val="008E2181"/>
    <w:rsid w:val="008E2873"/>
    <w:rsid w:val="008E288C"/>
    <w:rsid w:val="008E29B0"/>
    <w:rsid w:val="008E2A5A"/>
    <w:rsid w:val="008E2D15"/>
    <w:rsid w:val="008E3573"/>
    <w:rsid w:val="008E3A8B"/>
    <w:rsid w:val="008E4CAD"/>
    <w:rsid w:val="008E4D9B"/>
    <w:rsid w:val="008E51CD"/>
    <w:rsid w:val="008E5388"/>
    <w:rsid w:val="008E5535"/>
    <w:rsid w:val="008E5C3F"/>
    <w:rsid w:val="008E6445"/>
    <w:rsid w:val="008E6A4E"/>
    <w:rsid w:val="008E7052"/>
    <w:rsid w:val="008F0248"/>
    <w:rsid w:val="008F0560"/>
    <w:rsid w:val="008F10F5"/>
    <w:rsid w:val="008F1253"/>
    <w:rsid w:val="008F1416"/>
    <w:rsid w:val="008F39D4"/>
    <w:rsid w:val="008F4F82"/>
    <w:rsid w:val="008F503E"/>
    <w:rsid w:val="008F5206"/>
    <w:rsid w:val="008F5BDA"/>
    <w:rsid w:val="008F64C2"/>
    <w:rsid w:val="008F6A60"/>
    <w:rsid w:val="008F7081"/>
    <w:rsid w:val="008F7A0C"/>
    <w:rsid w:val="0090065C"/>
    <w:rsid w:val="0090163F"/>
    <w:rsid w:val="009019BF"/>
    <w:rsid w:val="00901EF9"/>
    <w:rsid w:val="00902845"/>
    <w:rsid w:val="00902B0E"/>
    <w:rsid w:val="00902B12"/>
    <w:rsid w:val="00903408"/>
    <w:rsid w:val="00903667"/>
    <w:rsid w:val="009037AF"/>
    <w:rsid w:val="00903A3A"/>
    <w:rsid w:val="00903B26"/>
    <w:rsid w:val="0090457C"/>
    <w:rsid w:val="00905337"/>
    <w:rsid w:val="009054BB"/>
    <w:rsid w:val="00905787"/>
    <w:rsid w:val="00905A9E"/>
    <w:rsid w:val="00906F93"/>
    <w:rsid w:val="00907E23"/>
    <w:rsid w:val="00907F28"/>
    <w:rsid w:val="009104A7"/>
    <w:rsid w:val="00912C4E"/>
    <w:rsid w:val="00912F3B"/>
    <w:rsid w:val="00913D11"/>
    <w:rsid w:val="0091421C"/>
    <w:rsid w:val="009143D2"/>
    <w:rsid w:val="00916271"/>
    <w:rsid w:val="00916381"/>
    <w:rsid w:val="009206E2"/>
    <w:rsid w:val="00920B5A"/>
    <w:rsid w:val="00920B6F"/>
    <w:rsid w:val="00921629"/>
    <w:rsid w:val="0092194C"/>
    <w:rsid w:val="00922153"/>
    <w:rsid w:val="009221D4"/>
    <w:rsid w:val="00922F54"/>
    <w:rsid w:val="009241F7"/>
    <w:rsid w:val="009245D3"/>
    <w:rsid w:val="00924998"/>
    <w:rsid w:val="00925BB8"/>
    <w:rsid w:val="009271A3"/>
    <w:rsid w:val="00927B5F"/>
    <w:rsid w:val="00930955"/>
    <w:rsid w:val="00931B63"/>
    <w:rsid w:val="00931BDF"/>
    <w:rsid w:val="00931C74"/>
    <w:rsid w:val="00932967"/>
    <w:rsid w:val="00933191"/>
    <w:rsid w:val="0093331F"/>
    <w:rsid w:val="00933BB2"/>
    <w:rsid w:val="009355C6"/>
    <w:rsid w:val="0093583F"/>
    <w:rsid w:val="0093584D"/>
    <w:rsid w:val="0093586E"/>
    <w:rsid w:val="00935C81"/>
    <w:rsid w:val="009362E3"/>
    <w:rsid w:val="00941301"/>
    <w:rsid w:val="0094136D"/>
    <w:rsid w:val="00941BB3"/>
    <w:rsid w:val="009425EB"/>
    <w:rsid w:val="009430D4"/>
    <w:rsid w:val="0094324B"/>
    <w:rsid w:val="00943CAF"/>
    <w:rsid w:val="009450D8"/>
    <w:rsid w:val="00945198"/>
    <w:rsid w:val="00945225"/>
    <w:rsid w:val="0094527C"/>
    <w:rsid w:val="009454E8"/>
    <w:rsid w:val="009456AA"/>
    <w:rsid w:val="009460DA"/>
    <w:rsid w:val="0094610F"/>
    <w:rsid w:val="00946AE0"/>
    <w:rsid w:val="0094722E"/>
    <w:rsid w:val="00947E70"/>
    <w:rsid w:val="00950060"/>
    <w:rsid w:val="009501B0"/>
    <w:rsid w:val="009502BD"/>
    <w:rsid w:val="0095039D"/>
    <w:rsid w:val="00950677"/>
    <w:rsid w:val="009509CB"/>
    <w:rsid w:val="00951219"/>
    <w:rsid w:val="00951CE0"/>
    <w:rsid w:val="009523A3"/>
    <w:rsid w:val="00952CC3"/>
    <w:rsid w:val="0095333B"/>
    <w:rsid w:val="00953AE5"/>
    <w:rsid w:val="00953C86"/>
    <w:rsid w:val="00953EE6"/>
    <w:rsid w:val="00954DFA"/>
    <w:rsid w:val="00955023"/>
    <w:rsid w:val="00956202"/>
    <w:rsid w:val="009564EE"/>
    <w:rsid w:val="00956AEA"/>
    <w:rsid w:val="00956B25"/>
    <w:rsid w:val="009570CF"/>
    <w:rsid w:val="00957185"/>
    <w:rsid w:val="009578AB"/>
    <w:rsid w:val="009578E8"/>
    <w:rsid w:val="00957DF1"/>
    <w:rsid w:val="00957E4E"/>
    <w:rsid w:val="00957FEE"/>
    <w:rsid w:val="009603D5"/>
    <w:rsid w:val="009604B4"/>
    <w:rsid w:val="009606D2"/>
    <w:rsid w:val="0096085D"/>
    <w:rsid w:val="00961137"/>
    <w:rsid w:val="00961422"/>
    <w:rsid w:val="00961483"/>
    <w:rsid w:val="00961837"/>
    <w:rsid w:val="00961A5B"/>
    <w:rsid w:val="00961FC6"/>
    <w:rsid w:val="009621D9"/>
    <w:rsid w:val="00962341"/>
    <w:rsid w:val="00962EEA"/>
    <w:rsid w:val="00963C0D"/>
    <w:rsid w:val="009644AA"/>
    <w:rsid w:val="0096537D"/>
    <w:rsid w:val="00965682"/>
    <w:rsid w:val="00965B0F"/>
    <w:rsid w:val="00965BA2"/>
    <w:rsid w:val="009663C2"/>
    <w:rsid w:val="0096660D"/>
    <w:rsid w:val="009673D7"/>
    <w:rsid w:val="00967794"/>
    <w:rsid w:val="0097015D"/>
    <w:rsid w:val="00970396"/>
    <w:rsid w:val="00971590"/>
    <w:rsid w:val="0097171B"/>
    <w:rsid w:val="00971970"/>
    <w:rsid w:val="00971974"/>
    <w:rsid w:val="00972124"/>
    <w:rsid w:val="009721FF"/>
    <w:rsid w:val="00972617"/>
    <w:rsid w:val="00972926"/>
    <w:rsid w:val="00972B3C"/>
    <w:rsid w:val="00972FB9"/>
    <w:rsid w:val="009746D8"/>
    <w:rsid w:val="0097488E"/>
    <w:rsid w:val="00974ECB"/>
    <w:rsid w:val="00974FCF"/>
    <w:rsid w:val="009758D2"/>
    <w:rsid w:val="00975F06"/>
    <w:rsid w:val="00976214"/>
    <w:rsid w:val="00976362"/>
    <w:rsid w:val="00976473"/>
    <w:rsid w:val="00976A2E"/>
    <w:rsid w:val="009772E6"/>
    <w:rsid w:val="0097748A"/>
    <w:rsid w:val="00977A28"/>
    <w:rsid w:val="00980AF9"/>
    <w:rsid w:val="00981981"/>
    <w:rsid w:val="0098298A"/>
    <w:rsid w:val="00982A1C"/>
    <w:rsid w:val="00982B15"/>
    <w:rsid w:val="00982C7A"/>
    <w:rsid w:val="00982DF7"/>
    <w:rsid w:val="00983047"/>
    <w:rsid w:val="00983164"/>
    <w:rsid w:val="0098322C"/>
    <w:rsid w:val="00983479"/>
    <w:rsid w:val="00983B7E"/>
    <w:rsid w:val="00983DBC"/>
    <w:rsid w:val="0098422D"/>
    <w:rsid w:val="00985035"/>
    <w:rsid w:val="00986EA8"/>
    <w:rsid w:val="009876B9"/>
    <w:rsid w:val="00987DD7"/>
    <w:rsid w:val="00990370"/>
    <w:rsid w:val="00990406"/>
    <w:rsid w:val="009907E6"/>
    <w:rsid w:val="00991997"/>
    <w:rsid w:val="00992BC4"/>
    <w:rsid w:val="00992E2D"/>
    <w:rsid w:val="00993F21"/>
    <w:rsid w:val="009948FA"/>
    <w:rsid w:val="00994CD5"/>
    <w:rsid w:val="00994EA9"/>
    <w:rsid w:val="00995AD7"/>
    <w:rsid w:val="00997305"/>
    <w:rsid w:val="0099760B"/>
    <w:rsid w:val="009A11AF"/>
    <w:rsid w:val="009A2B76"/>
    <w:rsid w:val="009A3BDB"/>
    <w:rsid w:val="009A3EC1"/>
    <w:rsid w:val="009A3F79"/>
    <w:rsid w:val="009A4737"/>
    <w:rsid w:val="009A4E83"/>
    <w:rsid w:val="009A528A"/>
    <w:rsid w:val="009A5E05"/>
    <w:rsid w:val="009A5F75"/>
    <w:rsid w:val="009A60F8"/>
    <w:rsid w:val="009A67E1"/>
    <w:rsid w:val="009A6D6C"/>
    <w:rsid w:val="009A7BCB"/>
    <w:rsid w:val="009A7FFB"/>
    <w:rsid w:val="009B0254"/>
    <w:rsid w:val="009B0447"/>
    <w:rsid w:val="009B073D"/>
    <w:rsid w:val="009B07E2"/>
    <w:rsid w:val="009B0A1E"/>
    <w:rsid w:val="009B0F3F"/>
    <w:rsid w:val="009B104F"/>
    <w:rsid w:val="009B1625"/>
    <w:rsid w:val="009B3044"/>
    <w:rsid w:val="009B3D96"/>
    <w:rsid w:val="009B40F9"/>
    <w:rsid w:val="009B4DCE"/>
    <w:rsid w:val="009B5C2F"/>
    <w:rsid w:val="009B5CED"/>
    <w:rsid w:val="009B5D5F"/>
    <w:rsid w:val="009B5D95"/>
    <w:rsid w:val="009B6206"/>
    <w:rsid w:val="009B6318"/>
    <w:rsid w:val="009B66A7"/>
    <w:rsid w:val="009B6903"/>
    <w:rsid w:val="009B69A5"/>
    <w:rsid w:val="009B6B07"/>
    <w:rsid w:val="009B6B5C"/>
    <w:rsid w:val="009B7CBC"/>
    <w:rsid w:val="009C05BC"/>
    <w:rsid w:val="009C0828"/>
    <w:rsid w:val="009C1E66"/>
    <w:rsid w:val="009C28A7"/>
    <w:rsid w:val="009C37D0"/>
    <w:rsid w:val="009C3DCD"/>
    <w:rsid w:val="009C3F25"/>
    <w:rsid w:val="009C45AF"/>
    <w:rsid w:val="009C4A56"/>
    <w:rsid w:val="009C5096"/>
    <w:rsid w:val="009C5733"/>
    <w:rsid w:val="009C59DC"/>
    <w:rsid w:val="009C5E51"/>
    <w:rsid w:val="009C685E"/>
    <w:rsid w:val="009C72D6"/>
    <w:rsid w:val="009C748C"/>
    <w:rsid w:val="009C765D"/>
    <w:rsid w:val="009D0280"/>
    <w:rsid w:val="009D0871"/>
    <w:rsid w:val="009D0B53"/>
    <w:rsid w:val="009D0C90"/>
    <w:rsid w:val="009D15F0"/>
    <w:rsid w:val="009D1B22"/>
    <w:rsid w:val="009D20EB"/>
    <w:rsid w:val="009D2231"/>
    <w:rsid w:val="009D30DF"/>
    <w:rsid w:val="009D3D64"/>
    <w:rsid w:val="009D44C3"/>
    <w:rsid w:val="009D535A"/>
    <w:rsid w:val="009D541E"/>
    <w:rsid w:val="009D6375"/>
    <w:rsid w:val="009D6601"/>
    <w:rsid w:val="009D6A5D"/>
    <w:rsid w:val="009D71CC"/>
    <w:rsid w:val="009D72BA"/>
    <w:rsid w:val="009E1EBD"/>
    <w:rsid w:val="009E21ED"/>
    <w:rsid w:val="009E25FE"/>
    <w:rsid w:val="009E2B91"/>
    <w:rsid w:val="009E2E97"/>
    <w:rsid w:val="009E3B0A"/>
    <w:rsid w:val="009E3DB6"/>
    <w:rsid w:val="009E425F"/>
    <w:rsid w:val="009E53F8"/>
    <w:rsid w:val="009E5862"/>
    <w:rsid w:val="009E591E"/>
    <w:rsid w:val="009E5D3E"/>
    <w:rsid w:val="009F11AC"/>
    <w:rsid w:val="009F1203"/>
    <w:rsid w:val="009F149A"/>
    <w:rsid w:val="009F1792"/>
    <w:rsid w:val="009F2D1F"/>
    <w:rsid w:val="009F305B"/>
    <w:rsid w:val="009F334D"/>
    <w:rsid w:val="009F3689"/>
    <w:rsid w:val="009F39F5"/>
    <w:rsid w:val="009F43C6"/>
    <w:rsid w:val="009F4B00"/>
    <w:rsid w:val="009F5C05"/>
    <w:rsid w:val="009F5ECF"/>
    <w:rsid w:val="009F61F1"/>
    <w:rsid w:val="009F6609"/>
    <w:rsid w:val="009F6A45"/>
    <w:rsid w:val="00A00799"/>
    <w:rsid w:val="00A00E94"/>
    <w:rsid w:val="00A00EC5"/>
    <w:rsid w:val="00A018F5"/>
    <w:rsid w:val="00A01F4F"/>
    <w:rsid w:val="00A02431"/>
    <w:rsid w:val="00A02F2C"/>
    <w:rsid w:val="00A03091"/>
    <w:rsid w:val="00A033C9"/>
    <w:rsid w:val="00A03C45"/>
    <w:rsid w:val="00A04013"/>
    <w:rsid w:val="00A0408F"/>
    <w:rsid w:val="00A0528C"/>
    <w:rsid w:val="00A05683"/>
    <w:rsid w:val="00A05D5A"/>
    <w:rsid w:val="00A06498"/>
    <w:rsid w:val="00A06B76"/>
    <w:rsid w:val="00A108FE"/>
    <w:rsid w:val="00A10D6B"/>
    <w:rsid w:val="00A11E44"/>
    <w:rsid w:val="00A12BEB"/>
    <w:rsid w:val="00A12D33"/>
    <w:rsid w:val="00A13405"/>
    <w:rsid w:val="00A13675"/>
    <w:rsid w:val="00A13A8F"/>
    <w:rsid w:val="00A14BAF"/>
    <w:rsid w:val="00A150B6"/>
    <w:rsid w:val="00A15820"/>
    <w:rsid w:val="00A1583C"/>
    <w:rsid w:val="00A15976"/>
    <w:rsid w:val="00A16B49"/>
    <w:rsid w:val="00A170D7"/>
    <w:rsid w:val="00A171AC"/>
    <w:rsid w:val="00A1725B"/>
    <w:rsid w:val="00A17330"/>
    <w:rsid w:val="00A178E1"/>
    <w:rsid w:val="00A17985"/>
    <w:rsid w:val="00A17DBD"/>
    <w:rsid w:val="00A202B3"/>
    <w:rsid w:val="00A2059D"/>
    <w:rsid w:val="00A2135C"/>
    <w:rsid w:val="00A2144A"/>
    <w:rsid w:val="00A21916"/>
    <w:rsid w:val="00A21F92"/>
    <w:rsid w:val="00A22260"/>
    <w:rsid w:val="00A22736"/>
    <w:rsid w:val="00A2279C"/>
    <w:rsid w:val="00A2290E"/>
    <w:rsid w:val="00A24CE7"/>
    <w:rsid w:val="00A25035"/>
    <w:rsid w:val="00A25320"/>
    <w:rsid w:val="00A2534E"/>
    <w:rsid w:val="00A2560F"/>
    <w:rsid w:val="00A2599A"/>
    <w:rsid w:val="00A259EF"/>
    <w:rsid w:val="00A25E03"/>
    <w:rsid w:val="00A262F9"/>
    <w:rsid w:val="00A26640"/>
    <w:rsid w:val="00A30A95"/>
    <w:rsid w:val="00A31173"/>
    <w:rsid w:val="00A316E8"/>
    <w:rsid w:val="00A31FC6"/>
    <w:rsid w:val="00A32993"/>
    <w:rsid w:val="00A3409D"/>
    <w:rsid w:val="00A346A6"/>
    <w:rsid w:val="00A34897"/>
    <w:rsid w:val="00A34960"/>
    <w:rsid w:val="00A34985"/>
    <w:rsid w:val="00A34CF8"/>
    <w:rsid w:val="00A35111"/>
    <w:rsid w:val="00A35194"/>
    <w:rsid w:val="00A35762"/>
    <w:rsid w:val="00A361A2"/>
    <w:rsid w:val="00A36896"/>
    <w:rsid w:val="00A36933"/>
    <w:rsid w:val="00A369D5"/>
    <w:rsid w:val="00A36A2F"/>
    <w:rsid w:val="00A36D4D"/>
    <w:rsid w:val="00A37C38"/>
    <w:rsid w:val="00A40A2A"/>
    <w:rsid w:val="00A42D8C"/>
    <w:rsid w:val="00A43070"/>
    <w:rsid w:val="00A43C45"/>
    <w:rsid w:val="00A43D1B"/>
    <w:rsid w:val="00A4437F"/>
    <w:rsid w:val="00A4572F"/>
    <w:rsid w:val="00A463FB"/>
    <w:rsid w:val="00A46D41"/>
    <w:rsid w:val="00A470D3"/>
    <w:rsid w:val="00A471FA"/>
    <w:rsid w:val="00A47472"/>
    <w:rsid w:val="00A50A67"/>
    <w:rsid w:val="00A52337"/>
    <w:rsid w:val="00A5270E"/>
    <w:rsid w:val="00A52C6B"/>
    <w:rsid w:val="00A52C7D"/>
    <w:rsid w:val="00A53795"/>
    <w:rsid w:val="00A538A0"/>
    <w:rsid w:val="00A542B4"/>
    <w:rsid w:val="00A546EC"/>
    <w:rsid w:val="00A54A29"/>
    <w:rsid w:val="00A550A6"/>
    <w:rsid w:val="00A55905"/>
    <w:rsid w:val="00A55985"/>
    <w:rsid w:val="00A55AAB"/>
    <w:rsid w:val="00A55B47"/>
    <w:rsid w:val="00A55FE1"/>
    <w:rsid w:val="00A56B47"/>
    <w:rsid w:val="00A570E7"/>
    <w:rsid w:val="00A57DAD"/>
    <w:rsid w:val="00A601B9"/>
    <w:rsid w:val="00A60FE4"/>
    <w:rsid w:val="00A61062"/>
    <w:rsid w:val="00A611ED"/>
    <w:rsid w:val="00A616C3"/>
    <w:rsid w:val="00A61C08"/>
    <w:rsid w:val="00A62189"/>
    <w:rsid w:val="00A62FF0"/>
    <w:rsid w:val="00A639F3"/>
    <w:rsid w:val="00A63F9B"/>
    <w:rsid w:val="00A6404E"/>
    <w:rsid w:val="00A6468E"/>
    <w:rsid w:val="00A653A8"/>
    <w:rsid w:val="00A662AF"/>
    <w:rsid w:val="00A665B8"/>
    <w:rsid w:val="00A6675E"/>
    <w:rsid w:val="00A66C8A"/>
    <w:rsid w:val="00A67323"/>
    <w:rsid w:val="00A677F3"/>
    <w:rsid w:val="00A679F3"/>
    <w:rsid w:val="00A706BC"/>
    <w:rsid w:val="00A7099A"/>
    <w:rsid w:val="00A70AE8"/>
    <w:rsid w:val="00A71DFE"/>
    <w:rsid w:val="00A72756"/>
    <w:rsid w:val="00A72EFB"/>
    <w:rsid w:val="00A7307C"/>
    <w:rsid w:val="00A73604"/>
    <w:rsid w:val="00A73639"/>
    <w:rsid w:val="00A74264"/>
    <w:rsid w:val="00A743BE"/>
    <w:rsid w:val="00A74466"/>
    <w:rsid w:val="00A74FEE"/>
    <w:rsid w:val="00A750E0"/>
    <w:rsid w:val="00A75282"/>
    <w:rsid w:val="00A7553C"/>
    <w:rsid w:val="00A75FB2"/>
    <w:rsid w:val="00A764EE"/>
    <w:rsid w:val="00A76C1F"/>
    <w:rsid w:val="00A76E05"/>
    <w:rsid w:val="00A80D9C"/>
    <w:rsid w:val="00A81175"/>
    <w:rsid w:val="00A81732"/>
    <w:rsid w:val="00A840D9"/>
    <w:rsid w:val="00A841D7"/>
    <w:rsid w:val="00A843BD"/>
    <w:rsid w:val="00A849AD"/>
    <w:rsid w:val="00A8510C"/>
    <w:rsid w:val="00A8562A"/>
    <w:rsid w:val="00A862B2"/>
    <w:rsid w:val="00A864EF"/>
    <w:rsid w:val="00A8733F"/>
    <w:rsid w:val="00A87669"/>
    <w:rsid w:val="00A87B13"/>
    <w:rsid w:val="00A90220"/>
    <w:rsid w:val="00A90418"/>
    <w:rsid w:val="00A904D1"/>
    <w:rsid w:val="00A9141A"/>
    <w:rsid w:val="00A91E5A"/>
    <w:rsid w:val="00A92C29"/>
    <w:rsid w:val="00A93D4E"/>
    <w:rsid w:val="00A93EFC"/>
    <w:rsid w:val="00A940B1"/>
    <w:rsid w:val="00A95187"/>
    <w:rsid w:val="00A953E1"/>
    <w:rsid w:val="00A957BC"/>
    <w:rsid w:val="00A95F40"/>
    <w:rsid w:val="00A96038"/>
    <w:rsid w:val="00A969E8"/>
    <w:rsid w:val="00A970C8"/>
    <w:rsid w:val="00AA1CAE"/>
    <w:rsid w:val="00AA1D26"/>
    <w:rsid w:val="00AA25C1"/>
    <w:rsid w:val="00AA3A03"/>
    <w:rsid w:val="00AA3C94"/>
    <w:rsid w:val="00AA435A"/>
    <w:rsid w:val="00AA494C"/>
    <w:rsid w:val="00AA597A"/>
    <w:rsid w:val="00AA6E26"/>
    <w:rsid w:val="00AA70ED"/>
    <w:rsid w:val="00AA77FB"/>
    <w:rsid w:val="00AA7880"/>
    <w:rsid w:val="00AA79FE"/>
    <w:rsid w:val="00AB045E"/>
    <w:rsid w:val="00AB1DA5"/>
    <w:rsid w:val="00AB231B"/>
    <w:rsid w:val="00AB27CF"/>
    <w:rsid w:val="00AB3479"/>
    <w:rsid w:val="00AB34C3"/>
    <w:rsid w:val="00AB3DCF"/>
    <w:rsid w:val="00AB464F"/>
    <w:rsid w:val="00AB4C83"/>
    <w:rsid w:val="00AB4EE0"/>
    <w:rsid w:val="00AB5510"/>
    <w:rsid w:val="00AB5646"/>
    <w:rsid w:val="00AB6D8A"/>
    <w:rsid w:val="00AB76B0"/>
    <w:rsid w:val="00AB772D"/>
    <w:rsid w:val="00AB7874"/>
    <w:rsid w:val="00AB797A"/>
    <w:rsid w:val="00AC051B"/>
    <w:rsid w:val="00AC0B01"/>
    <w:rsid w:val="00AC12CA"/>
    <w:rsid w:val="00AC12CF"/>
    <w:rsid w:val="00AC13E8"/>
    <w:rsid w:val="00AC1406"/>
    <w:rsid w:val="00AC14BF"/>
    <w:rsid w:val="00AC2F86"/>
    <w:rsid w:val="00AC3461"/>
    <w:rsid w:val="00AC3D91"/>
    <w:rsid w:val="00AC4996"/>
    <w:rsid w:val="00AC4F1B"/>
    <w:rsid w:val="00AC585F"/>
    <w:rsid w:val="00AC5C06"/>
    <w:rsid w:val="00AC684A"/>
    <w:rsid w:val="00AC6882"/>
    <w:rsid w:val="00AC6D6C"/>
    <w:rsid w:val="00AC6F32"/>
    <w:rsid w:val="00AC6F5C"/>
    <w:rsid w:val="00AC7C1B"/>
    <w:rsid w:val="00AD0C58"/>
    <w:rsid w:val="00AD0F8C"/>
    <w:rsid w:val="00AD2FB1"/>
    <w:rsid w:val="00AD3182"/>
    <w:rsid w:val="00AD31F7"/>
    <w:rsid w:val="00AD3DDA"/>
    <w:rsid w:val="00AD3E36"/>
    <w:rsid w:val="00AD423B"/>
    <w:rsid w:val="00AD4BC3"/>
    <w:rsid w:val="00AD5517"/>
    <w:rsid w:val="00AD564D"/>
    <w:rsid w:val="00AD5CFD"/>
    <w:rsid w:val="00AD5F1B"/>
    <w:rsid w:val="00AD5FF7"/>
    <w:rsid w:val="00AD7AA4"/>
    <w:rsid w:val="00AE00B5"/>
    <w:rsid w:val="00AE0312"/>
    <w:rsid w:val="00AE08C3"/>
    <w:rsid w:val="00AE0ACA"/>
    <w:rsid w:val="00AE0C76"/>
    <w:rsid w:val="00AE0F50"/>
    <w:rsid w:val="00AE2389"/>
    <w:rsid w:val="00AE2F70"/>
    <w:rsid w:val="00AE31C9"/>
    <w:rsid w:val="00AE3429"/>
    <w:rsid w:val="00AE361F"/>
    <w:rsid w:val="00AE3829"/>
    <w:rsid w:val="00AE3A77"/>
    <w:rsid w:val="00AE3C5F"/>
    <w:rsid w:val="00AE4B55"/>
    <w:rsid w:val="00AE509F"/>
    <w:rsid w:val="00AE529F"/>
    <w:rsid w:val="00AE604A"/>
    <w:rsid w:val="00AE6355"/>
    <w:rsid w:val="00AE64C2"/>
    <w:rsid w:val="00AE69B7"/>
    <w:rsid w:val="00AE777A"/>
    <w:rsid w:val="00AE7EB7"/>
    <w:rsid w:val="00AF032E"/>
    <w:rsid w:val="00AF093A"/>
    <w:rsid w:val="00AF0CB4"/>
    <w:rsid w:val="00AF1B2D"/>
    <w:rsid w:val="00AF201F"/>
    <w:rsid w:val="00AF20BE"/>
    <w:rsid w:val="00AF2467"/>
    <w:rsid w:val="00AF271B"/>
    <w:rsid w:val="00AF3534"/>
    <w:rsid w:val="00AF3913"/>
    <w:rsid w:val="00AF3DD0"/>
    <w:rsid w:val="00AF4530"/>
    <w:rsid w:val="00AF4649"/>
    <w:rsid w:val="00AF4719"/>
    <w:rsid w:val="00AF48D0"/>
    <w:rsid w:val="00AF513C"/>
    <w:rsid w:val="00AF5B29"/>
    <w:rsid w:val="00AF73F1"/>
    <w:rsid w:val="00AF783C"/>
    <w:rsid w:val="00AF7A98"/>
    <w:rsid w:val="00B00134"/>
    <w:rsid w:val="00B00AC0"/>
    <w:rsid w:val="00B01883"/>
    <w:rsid w:val="00B02855"/>
    <w:rsid w:val="00B03115"/>
    <w:rsid w:val="00B03DA1"/>
    <w:rsid w:val="00B03DBB"/>
    <w:rsid w:val="00B042C4"/>
    <w:rsid w:val="00B04E76"/>
    <w:rsid w:val="00B07A33"/>
    <w:rsid w:val="00B10A0A"/>
    <w:rsid w:val="00B11882"/>
    <w:rsid w:val="00B119EE"/>
    <w:rsid w:val="00B11AA2"/>
    <w:rsid w:val="00B12067"/>
    <w:rsid w:val="00B12381"/>
    <w:rsid w:val="00B1257D"/>
    <w:rsid w:val="00B132CA"/>
    <w:rsid w:val="00B13948"/>
    <w:rsid w:val="00B14282"/>
    <w:rsid w:val="00B14646"/>
    <w:rsid w:val="00B15486"/>
    <w:rsid w:val="00B15D55"/>
    <w:rsid w:val="00B15E35"/>
    <w:rsid w:val="00B2075E"/>
    <w:rsid w:val="00B21563"/>
    <w:rsid w:val="00B21CDD"/>
    <w:rsid w:val="00B22077"/>
    <w:rsid w:val="00B2213A"/>
    <w:rsid w:val="00B223BB"/>
    <w:rsid w:val="00B227EE"/>
    <w:rsid w:val="00B2312D"/>
    <w:rsid w:val="00B24749"/>
    <w:rsid w:val="00B247CB"/>
    <w:rsid w:val="00B25E3B"/>
    <w:rsid w:val="00B263CD"/>
    <w:rsid w:val="00B27833"/>
    <w:rsid w:val="00B30957"/>
    <w:rsid w:val="00B30ACE"/>
    <w:rsid w:val="00B30F59"/>
    <w:rsid w:val="00B31636"/>
    <w:rsid w:val="00B316EF"/>
    <w:rsid w:val="00B31FAE"/>
    <w:rsid w:val="00B328D5"/>
    <w:rsid w:val="00B3328A"/>
    <w:rsid w:val="00B348F8"/>
    <w:rsid w:val="00B3543B"/>
    <w:rsid w:val="00B377FF"/>
    <w:rsid w:val="00B37E3B"/>
    <w:rsid w:val="00B400FC"/>
    <w:rsid w:val="00B41AE1"/>
    <w:rsid w:val="00B41AE8"/>
    <w:rsid w:val="00B4273E"/>
    <w:rsid w:val="00B42BFA"/>
    <w:rsid w:val="00B43581"/>
    <w:rsid w:val="00B43813"/>
    <w:rsid w:val="00B43878"/>
    <w:rsid w:val="00B44F22"/>
    <w:rsid w:val="00B462EE"/>
    <w:rsid w:val="00B47037"/>
    <w:rsid w:val="00B47190"/>
    <w:rsid w:val="00B47B25"/>
    <w:rsid w:val="00B47D75"/>
    <w:rsid w:val="00B501B7"/>
    <w:rsid w:val="00B509EC"/>
    <w:rsid w:val="00B50A11"/>
    <w:rsid w:val="00B50C0A"/>
    <w:rsid w:val="00B50D07"/>
    <w:rsid w:val="00B51375"/>
    <w:rsid w:val="00B51688"/>
    <w:rsid w:val="00B520A5"/>
    <w:rsid w:val="00B5269C"/>
    <w:rsid w:val="00B528A2"/>
    <w:rsid w:val="00B52A13"/>
    <w:rsid w:val="00B52E71"/>
    <w:rsid w:val="00B537C0"/>
    <w:rsid w:val="00B55333"/>
    <w:rsid w:val="00B55B7C"/>
    <w:rsid w:val="00B55BB0"/>
    <w:rsid w:val="00B56505"/>
    <w:rsid w:val="00B566A6"/>
    <w:rsid w:val="00B57534"/>
    <w:rsid w:val="00B5757D"/>
    <w:rsid w:val="00B60491"/>
    <w:rsid w:val="00B60717"/>
    <w:rsid w:val="00B60CD8"/>
    <w:rsid w:val="00B613ED"/>
    <w:rsid w:val="00B6181E"/>
    <w:rsid w:val="00B61CD0"/>
    <w:rsid w:val="00B62407"/>
    <w:rsid w:val="00B627C5"/>
    <w:rsid w:val="00B629D0"/>
    <w:rsid w:val="00B631E9"/>
    <w:rsid w:val="00B63A43"/>
    <w:rsid w:val="00B63E75"/>
    <w:rsid w:val="00B641F0"/>
    <w:rsid w:val="00B6422E"/>
    <w:rsid w:val="00B64B12"/>
    <w:rsid w:val="00B64F11"/>
    <w:rsid w:val="00B66419"/>
    <w:rsid w:val="00B664BF"/>
    <w:rsid w:val="00B66613"/>
    <w:rsid w:val="00B67489"/>
    <w:rsid w:val="00B67ADB"/>
    <w:rsid w:val="00B70A4E"/>
    <w:rsid w:val="00B71806"/>
    <w:rsid w:val="00B71D13"/>
    <w:rsid w:val="00B7222E"/>
    <w:rsid w:val="00B72A42"/>
    <w:rsid w:val="00B73CF8"/>
    <w:rsid w:val="00B7573E"/>
    <w:rsid w:val="00B762DD"/>
    <w:rsid w:val="00B764DF"/>
    <w:rsid w:val="00B76C54"/>
    <w:rsid w:val="00B774DE"/>
    <w:rsid w:val="00B77DCD"/>
    <w:rsid w:val="00B813C0"/>
    <w:rsid w:val="00B8186F"/>
    <w:rsid w:val="00B82B16"/>
    <w:rsid w:val="00B82D28"/>
    <w:rsid w:val="00B82DA8"/>
    <w:rsid w:val="00B8338B"/>
    <w:rsid w:val="00B83447"/>
    <w:rsid w:val="00B836EF"/>
    <w:rsid w:val="00B83B01"/>
    <w:rsid w:val="00B83D5C"/>
    <w:rsid w:val="00B83EF7"/>
    <w:rsid w:val="00B83FCD"/>
    <w:rsid w:val="00B843B2"/>
    <w:rsid w:val="00B847F3"/>
    <w:rsid w:val="00B84BCE"/>
    <w:rsid w:val="00B85466"/>
    <w:rsid w:val="00B86883"/>
    <w:rsid w:val="00B86C87"/>
    <w:rsid w:val="00B86D48"/>
    <w:rsid w:val="00B873BA"/>
    <w:rsid w:val="00B877D1"/>
    <w:rsid w:val="00B878B1"/>
    <w:rsid w:val="00B87ED8"/>
    <w:rsid w:val="00B90105"/>
    <w:rsid w:val="00B9018D"/>
    <w:rsid w:val="00B9056F"/>
    <w:rsid w:val="00B90688"/>
    <w:rsid w:val="00B90CFE"/>
    <w:rsid w:val="00B90DCF"/>
    <w:rsid w:val="00B9220A"/>
    <w:rsid w:val="00B93231"/>
    <w:rsid w:val="00B93A14"/>
    <w:rsid w:val="00B9497E"/>
    <w:rsid w:val="00B94D87"/>
    <w:rsid w:val="00B95337"/>
    <w:rsid w:val="00B9549A"/>
    <w:rsid w:val="00B97D13"/>
    <w:rsid w:val="00B97DBC"/>
    <w:rsid w:val="00BA004B"/>
    <w:rsid w:val="00BA0B20"/>
    <w:rsid w:val="00BA1090"/>
    <w:rsid w:val="00BA13D7"/>
    <w:rsid w:val="00BA17A4"/>
    <w:rsid w:val="00BA1C7E"/>
    <w:rsid w:val="00BA32C4"/>
    <w:rsid w:val="00BA356E"/>
    <w:rsid w:val="00BA359C"/>
    <w:rsid w:val="00BA3B13"/>
    <w:rsid w:val="00BA4ABF"/>
    <w:rsid w:val="00BA62DC"/>
    <w:rsid w:val="00BA6340"/>
    <w:rsid w:val="00BA657C"/>
    <w:rsid w:val="00BA6B66"/>
    <w:rsid w:val="00BA6C1F"/>
    <w:rsid w:val="00BA6D5C"/>
    <w:rsid w:val="00BA71CD"/>
    <w:rsid w:val="00BA781B"/>
    <w:rsid w:val="00BA7892"/>
    <w:rsid w:val="00BA7F95"/>
    <w:rsid w:val="00BB0182"/>
    <w:rsid w:val="00BB0A7E"/>
    <w:rsid w:val="00BB0EE0"/>
    <w:rsid w:val="00BB16EA"/>
    <w:rsid w:val="00BB19AE"/>
    <w:rsid w:val="00BB1C52"/>
    <w:rsid w:val="00BB28F5"/>
    <w:rsid w:val="00BB2DD7"/>
    <w:rsid w:val="00BB3A9F"/>
    <w:rsid w:val="00BB3C0D"/>
    <w:rsid w:val="00BB47E4"/>
    <w:rsid w:val="00BB54AD"/>
    <w:rsid w:val="00BB5741"/>
    <w:rsid w:val="00BB6340"/>
    <w:rsid w:val="00BB7FCE"/>
    <w:rsid w:val="00BC0256"/>
    <w:rsid w:val="00BC03E9"/>
    <w:rsid w:val="00BC0BFA"/>
    <w:rsid w:val="00BC0C20"/>
    <w:rsid w:val="00BC11A2"/>
    <w:rsid w:val="00BC1833"/>
    <w:rsid w:val="00BC29D3"/>
    <w:rsid w:val="00BC3B05"/>
    <w:rsid w:val="00BC6E8C"/>
    <w:rsid w:val="00BC7971"/>
    <w:rsid w:val="00BC7D23"/>
    <w:rsid w:val="00BD0108"/>
    <w:rsid w:val="00BD0361"/>
    <w:rsid w:val="00BD07B6"/>
    <w:rsid w:val="00BD0A83"/>
    <w:rsid w:val="00BD0B89"/>
    <w:rsid w:val="00BD0D9C"/>
    <w:rsid w:val="00BD285C"/>
    <w:rsid w:val="00BD3A3F"/>
    <w:rsid w:val="00BD3C08"/>
    <w:rsid w:val="00BD45A5"/>
    <w:rsid w:val="00BD4661"/>
    <w:rsid w:val="00BD4848"/>
    <w:rsid w:val="00BD5A96"/>
    <w:rsid w:val="00BD5AF7"/>
    <w:rsid w:val="00BD5CFD"/>
    <w:rsid w:val="00BD5EB9"/>
    <w:rsid w:val="00BD5F1C"/>
    <w:rsid w:val="00BD5FF8"/>
    <w:rsid w:val="00BD6471"/>
    <w:rsid w:val="00BD66A5"/>
    <w:rsid w:val="00BD66E3"/>
    <w:rsid w:val="00BD6D54"/>
    <w:rsid w:val="00BD6FD2"/>
    <w:rsid w:val="00BD7050"/>
    <w:rsid w:val="00BD732D"/>
    <w:rsid w:val="00BD7BAE"/>
    <w:rsid w:val="00BE04EB"/>
    <w:rsid w:val="00BE0994"/>
    <w:rsid w:val="00BE102F"/>
    <w:rsid w:val="00BE2067"/>
    <w:rsid w:val="00BE2A6E"/>
    <w:rsid w:val="00BE351E"/>
    <w:rsid w:val="00BE43AB"/>
    <w:rsid w:val="00BE443F"/>
    <w:rsid w:val="00BE48FE"/>
    <w:rsid w:val="00BE4BF4"/>
    <w:rsid w:val="00BE5E02"/>
    <w:rsid w:val="00BE762B"/>
    <w:rsid w:val="00BE7FEB"/>
    <w:rsid w:val="00BF00B3"/>
    <w:rsid w:val="00BF065B"/>
    <w:rsid w:val="00BF0856"/>
    <w:rsid w:val="00BF0A16"/>
    <w:rsid w:val="00BF0FF7"/>
    <w:rsid w:val="00BF127D"/>
    <w:rsid w:val="00BF2570"/>
    <w:rsid w:val="00BF2AF5"/>
    <w:rsid w:val="00BF2DD3"/>
    <w:rsid w:val="00BF3688"/>
    <w:rsid w:val="00BF3947"/>
    <w:rsid w:val="00BF3B01"/>
    <w:rsid w:val="00BF3FE5"/>
    <w:rsid w:val="00BF5CF7"/>
    <w:rsid w:val="00BF651D"/>
    <w:rsid w:val="00BF6C2F"/>
    <w:rsid w:val="00BF7104"/>
    <w:rsid w:val="00BF7C5A"/>
    <w:rsid w:val="00C01E38"/>
    <w:rsid w:val="00C02445"/>
    <w:rsid w:val="00C026E1"/>
    <w:rsid w:val="00C0277B"/>
    <w:rsid w:val="00C02F64"/>
    <w:rsid w:val="00C03AE6"/>
    <w:rsid w:val="00C0446D"/>
    <w:rsid w:val="00C044EA"/>
    <w:rsid w:val="00C0452C"/>
    <w:rsid w:val="00C045E1"/>
    <w:rsid w:val="00C0570B"/>
    <w:rsid w:val="00C05735"/>
    <w:rsid w:val="00C05CDD"/>
    <w:rsid w:val="00C06CF4"/>
    <w:rsid w:val="00C10A57"/>
    <w:rsid w:val="00C1130B"/>
    <w:rsid w:val="00C1166F"/>
    <w:rsid w:val="00C11950"/>
    <w:rsid w:val="00C120E6"/>
    <w:rsid w:val="00C13105"/>
    <w:rsid w:val="00C13C2C"/>
    <w:rsid w:val="00C14392"/>
    <w:rsid w:val="00C14A6D"/>
    <w:rsid w:val="00C152DF"/>
    <w:rsid w:val="00C155E6"/>
    <w:rsid w:val="00C16450"/>
    <w:rsid w:val="00C16FDD"/>
    <w:rsid w:val="00C178F1"/>
    <w:rsid w:val="00C20668"/>
    <w:rsid w:val="00C20A39"/>
    <w:rsid w:val="00C2172D"/>
    <w:rsid w:val="00C21DF0"/>
    <w:rsid w:val="00C22E29"/>
    <w:rsid w:val="00C231F9"/>
    <w:rsid w:val="00C23F01"/>
    <w:rsid w:val="00C25DB2"/>
    <w:rsid w:val="00C2608C"/>
    <w:rsid w:val="00C26C3C"/>
    <w:rsid w:val="00C26E28"/>
    <w:rsid w:val="00C26FB8"/>
    <w:rsid w:val="00C27092"/>
    <w:rsid w:val="00C30C03"/>
    <w:rsid w:val="00C31D57"/>
    <w:rsid w:val="00C31E87"/>
    <w:rsid w:val="00C3200B"/>
    <w:rsid w:val="00C321C5"/>
    <w:rsid w:val="00C328CB"/>
    <w:rsid w:val="00C3337D"/>
    <w:rsid w:val="00C33DF6"/>
    <w:rsid w:val="00C33F6C"/>
    <w:rsid w:val="00C346B1"/>
    <w:rsid w:val="00C34923"/>
    <w:rsid w:val="00C34C75"/>
    <w:rsid w:val="00C35033"/>
    <w:rsid w:val="00C350C5"/>
    <w:rsid w:val="00C35696"/>
    <w:rsid w:val="00C35C02"/>
    <w:rsid w:val="00C35DF2"/>
    <w:rsid w:val="00C35E98"/>
    <w:rsid w:val="00C361C5"/>
    <w:rsid w:val="00C37C23"/>
    <w:rsid w:val="00C411BD"/>
    <w:rsid w:val="00C41FD7"/>
    <w:rsid w:val="00C42A6A"/>
    <w:rsid w:val="00C42C87"/>
    <w:rsid w:val="00C42D51"/>
    <w:rsid w:val="00C42EF3"/>
    <w:rsid w:val="00C43083"/>
    <w:rsid w:val="00C435B0"/>
    <w:rsid w:val="00C4367E"/>
    <w:rsid w:val="00C4411E"/>
    <w:rsid w:val="00C44B54"/>
    <w:rsid w:val="00C45328"/>
    <w:rsid w:val="00C45840"/>
    <w:rsid w:val="00C458AC"/>
    <w:rsid w:val="00C45A6F"/>
    <w:rsid w:val="00C45AC2"/>
    <w:rsid w:val="00C45D27"/>
    <w:rsid w:val="00C4654C"/>
    <w:rsid w:val="00C467FC"/>
    <w:rsid w:val="00C46BB6"/>
    <w:rsid w:val="00C47B69"/>
    <w:rsid w:val="00C50ADA"/>
    <w:rsid w:val="00C5183C"/>
    <w:rsid w:val="00C5213B"/>
    <w:rsid w:val="00C521D0"/>
    <w:rsid w:val="00C523AF"/>
    <w:rsid w:val="00C52763"/>
    <w:rsid w:val="00C52D4F"/>
    <w:rsid w:val="00C52ECD"/>
    <w:rsid w:val="00C53397"/>
    <w:rsid w:val="00C53F06"/>
    <w:rsid w:val="00C549DA"/>
    <w:rsid w:val="00C54E1B"/>
    <w:rsid w:val="00C554D8"/>
    <w:rsid w:val="00C5555C"/>
    <w:rsid w:val="00C55AAB"/>
    <w:rsid w:val="00C563CA"/>
    <w:rsid w:val="00C56CEE"/>
    <w:rsid w:val="00C57434"/>
    <w:rsid w:val="00C5779C"/>
    <w:rsid w:val="00C619F0"/>
    <w:rsid w:val="00C62641"/>
    <w:rsid w:val="00C62C34"/>
    <w:rsid w:val="00C63096"/>
    <w:rsid w:val="00C6328D"/>
    <w:rsid w:val="00C634FA"/>
    <w:rsid w:val="00C635F4"/>
    <w:rsid w:val="00C64A0C"/>
    <w:rsid w:val="00C64DD1"/>
    <w:rsid w:val="00C65E04"/>
    <w:rsid w:val="00C66EDC"/>
    <w:rsid w:val="00C67C1E"/>
    <w:rsid w:val="00C700B8"/>
    <w:rsid w:val="00C7106A"/>
    <w:rsid w:val="00C7108B"/>
    <w:rsid w:val="00C71F0E"/>
    <w:rsid w:val="00C71FF7"/>
    <w:rsid w:val="00C72F85"/>
    <w:rsid w:val="00C73463"/>
    <w:rsid w:val="00C73EEE"/>
    <w:rsid w:val="00C7448A"/>
    <w:rsid w:val="00C74CCD"/>
    <w:rsid w:val="00C75276"/>
    <w:rsid w:val="00C757E4"/>
    <w:rsid w:val="00C75846"/>
    <w:rsid w:val="00C76986"/>
    <w:rsid w:val="00C80C53"/>
    <w:rsid w:val="00C81054"/>
    <w:rsid w:val="00C82524"/>
    <w:rsid w:val="00C82AA5"/>
    <w:rsid w:val="00C82CA0"/>
    <w:rsid w:val="00C831E6"/>
    <w:rsid w:val="00C8329E"/>
    <w:rsid w:val="00C84007"/>
    <w:rsid w:val="00C84E25"/>
    <w:rsid w:val="00C86022"/>
    <w:rsid w:val="00C8608A"/>
    <w:rsid w:val="00C8724A"/>
    <w:rsid w:val="00C873E8"/>
    <w:rsid w:val="00C90B3B"/>
    <w:rsid w:val="00C90C81"/>
    <w:rsid w:val="00C911A7"/>
    <w:rsid w:val="00C914FA"/>
    <w:rsid w:val="00C9188F"/>
    <w:rsid w:val="00C91B47"/>
    <w:rsid w:val="00C92447"/>
    <w:rsid w:val="00C92696"/>
    <w:rsid w:val="00C92AF0"/>
    <w:rsid w:val="00C92BCD"/>
    <w:rsid w:val="00C93145"/>
    <w:rsid w:val="00C93ED4"/>
    <w:rsid w:val="00C9445D"/>
    <w:rsid w:val="00C946A2"/>
    <w:rsid w:val="00C9497E"/>
    <w:rsid w:val="00C9510A"/>
    <w:rsid w:val="00C9526C"/>
    <w:rsid w:val="00C9559F"/>
    <w:rsid w:val="00C95810"/>
    <w:rsid w:val="00C95A3A"/>
    <w:rsid w:val="00C95DC0"/>
    <w:rsid w:val="00C961C6"/>
    <w:rsid w:val="00C964B1"/>
    <w:rsid w:val="00C966E8"/>
    <w:rsid w:val="00CA0732"/>
    <w:rsid w:val="00CA1DBF"/>
    <w:rsid w:val="00CA229E"/>
    <w:rsid w:val="00CA2998"/>
    <w:rsid w:val="00CA340B"/>
    <w:rsid w:val="00CA3681"/>
    <w:rsid w:val="00CA3997"/>
    <w:rsid w:val="00CA5D7B"/>
    <w:rsid w:val="00CA5ED4"/>
    <w:rsid w:val="00CA6509"/>
    <w:rsid w:val="00CA6DE0"/>
    <w:rsid w:val="00CA716C"/>
    <w:rsid w:val="00CA7DFC"/>
    <w:rsid w:val="00CB0364"/>
    <w:rsid w:val="00CB0567"/>
    <w:rsid w:val="00CB073F"/>
    <w:rsid w:val="00CB187E"/>
    <w:rsid w:val="00CB1EDF"/>
    <w:rsid w:val="00CB231F"/>
    <w:rsid w:val="00CB2A69"/>
    <w:rsid w:val="00CB3820"/>
    <w:rsid w:val="00CB3985"/>
    <w:rsid w:val="00CB473E"/>
    <w:rsid w:val="00CB5D41"/>
    <w:rsid w:val="00CB7604"/>
    <w:rsid w:val="00CB7D1B"/>
    <w:rsid w:val="00CC1EB4"/>
    <w:rsid w:val="00CC1F65"/>
    <w:rsid w:val="00CC2167"/>
    <w:rsid w:val="00CC43EA"/>
    <w:rsid w:val="00CC49FD"/>
    <w:rsid w:val="00CC4ED7"/>
    <w:rsid w:val="00CC4F2E"/>
    <w:rsid w:val="00CC5D3F"/>
    <w:rsid w:val="00CC5E1B"/>
    <w:rsid w:val="00CC633B"/>
    <w:rsid w:val="00CC6A8E"/>
    <w:rsid w:val="00CC72DD"/>
    <w:rsid w:val="00CD05A9"/>
    <w:rsid w:val="00CD0BE3"/>
    <w:rsid w:val="00CD2517"/>
    <w:rsid w:val="00CD268E"/>
    <w:rsid w:val="00CD2A10"/>
    <w:rsid w:val="00CD2B22"/>
    <w:rsid w:val="00CD30BA"/>
    <w:rsid w:val="00CD37B4"/>
    <w:rsid w:val="00CD48AB"/>
    <w:rsid w:val="00CD4B09"/>
    <w:rsid w:val="00CD4F36"/>
    <w:rsid w:val="00CD5619"/>
    <w:rsid w:val="00CD57B2"/>
    <w:rsid w:val="00CD58DB"/>
    <w:rsid w:val="00CD59C3"/>
    <w:rsid w:val="00CD723A"/>
    <w:rsid w:val="00CE1FF9"/>
    <w:rsid w:val="00CE3093"/>
    <w:rsid w:val="00CE32B7"/>
    <w:rsid w:val="00CE3867"/>
    <w:rsid w:val="00CE432B"/>
    <w:rsid w:val="00CE53C2"/>
    <w:rsid w:val="00CE5B83"/>
    <w:rsid w:val="00CE60A6"/>
    <w:rsid w:val="00CE63B0"/>
    <w:rsid w:val="00CE650C"/>
    <w:rsid w:val="00CE6EE7"/>
    <w:rsid w:val="00CE761C"/>
    <w:rsid w:val="00CF19F7"/>
    <w:rsid w:val="00CF2685"/>
    <w:rsid w:val="00CF3398"/>
    <w:rsid w:val="00CF35A3"/>
    <w:rsid w:val="00CF35EC"/>
    <w:rsid w:val="00CF38A5"/>
    <w:rsid w:val="00CF46DB"/>
    <w:rsid w:val="00CF4C1F"/>
    <w:rsid w:val="00CF55A3"/>
    <w:rsid w:val="00CF6567"/>
    <w:rsid w:val="00CF6588"/>
    <w:rsid w:val="00CF6DAB"/>
    <w:rsid w:val="00CF74D2"/>
    <w:rsid w:val="00CF7512"/>
    <w:rsid w:val="00CF75CC"/>
    <w:rsid w:val="00CF7EFE"/>
    <w:rsid w:val="00D00071"/>
    <w:rsid w:val="00D00505"/>
    <w:rsid w:val="00D00711"/>
    <w:rsid w:val="00D0085F"/>
    <w:rsid w:val="00D010D0"/>
    <w:rsid w:val="00D01873"/>
    <w:rsid w:val="00D01E6B"/>
    <w:rsid w:val="00D02B2B"/>
    <w:rsid w:val="00D02DEE"/>
    <w:rsid w:val="00D031FD"/>
    <w:rsid w:val="00D0322D"/>
    <w:rsid w:val="00D0322F"/>
    <w:rsid w:val="00D04671"/>
    <w:rsid w:val="00D04831"/>
    <w:rsid w:val="00D049A5"/>
    <w:rsid w:val="00D04C38"/>
    <w:rsid w:val="00D052FC"/>
    <w:rsid w:val="00D05350"/>
    <w:rsid w:val="00D05E38"/>
    <w:rsid w:val="00D06DB1"/>
    <w:rsid w:val="00D101AD"/>
    <w:rsid w:val="00D1027D"/>
    <w:rsid w:val="00D10C9B"/>
    <w:rsid w:val="00D119EA"/>
    <w:rsid w:val="00D12697"/>
    <w:rsid w:val="00D13570"/>
    <w:rsid w:val="00D13FF6"/>
    <w:rsid w:val="00D14646"/>
    <w:rsid w:val="00D15247"/>
    <w:rsid w:val="00D153F8"/>
    <w:rsid w:val="00D16B7A"/>
    <w:rsid w:val="00D16DE8"/>
    <w:rsid w:val="00D200E8"/>
    <w:rsid w:val="00D20589"/>
    <w:rsid w:val="00D20B49"/>
    <w:rsid w:val="00D20D63"/>
    <w:rsid w:val="00D214A9"/>
    <w:rsid w:val="00D22756"/>
    <w:rsid w:val="00D22AE5"/>
    <w:rsid w:val="00D23296"/>
    <w:rsid w:val="00D24283"/>
    <w:rsid w:val="00D24447"/>
    <w:rsid w:val="00D2450E"/>
    <w:rsid w:val="00D24D0D"/>
    <w:rsid w:val="00D2515F"/>
    <w:rsid w:val="00D25714"/>
    <w:rsid w:val="00D25F3C"/>
    <w:rsid w:val="00D26056"/>
    <w:rsid w:val="00D263D8"/>
    <w:rsid w:val="00D265E7"/>
    <w:rsid w:val="00D26D38"/>
    <w:rsid w:val="00D26E7B"/>
    <w:rsid w:val="00D2738F"/>
    <w:rsid w:val="00D27523"/>
    <w:rsid w:val="00D27842"/>
    <w:rsid w:val="00D27BCE"/>
    <w:rsid w:val="00D27DBB"/>
    <w:rsid w:val="00D3045D"/>
    <w:rsid w:val="00D31311"/>
    <w:rsid w:val="00D3191F"/>
    <w:rsid w:val="00D31D3B"/>
    <w:rsid w:val="00D322D5"/>
    <w:rsid w:val="00D329C2"/>
    <w:rsid w:val="00D330AB"/>
    <w:rsid w:val="00D33624"/>
    <w:rsid w:val="00D33C0D"/>
    <w:rsid w:val="00D33E4B"/>
    <w:rsid w:val="00D34593"/>
    <w:rsid w:val="00D35009"/>
    <w:rsid w:val="00D35C8B"/>
    <w:rsid w:val="00D36336"/>
    <w:rsid w:val="00D36802"/>
    <w:rsid w:val="00D36CF1"/>
    <w:rsid w:val="00D37042"/>
    <w:rsid w:val="00D374F8"/>
    <w:rsid w:val="00D37BEC"/>
    <w:rsid w:val="00D415E1"/>
    <w:rsid w:val="00D426B8"/>
    <w:rsid w:val="00D42C39"/>
    <w:rsid w:val="00D431EE"/>
    <w:rsid w:val="00D43380"/>
    <w:rsid w:val="00D433EF"/>
    <w:rsid w:val="00D43ACB"/>
    <w:rsid w:val="00D44609"/>
    <w:rsid w:val="00D4476B"/>
    <w:rsid w:val="00D447CB"/>
    <w:rsid w:val="00D44D18"/>
    <w:rsid w:val="00D45017"/>
    <w:rsid w:val="00D45BFD"/>
    <w:rsid w:val="00D46CFC"/>
    <w:rsid w:val="00D47E96"/>
    <w:rsid w:val="00D50284"/>
    <w:rsid w:val="00D5037D"/>
    <w:rsid w:val="00D50C0A"/>
    <w:rsid w:val="00D50FCA"/>
    <w:rsid w:val="00D524E6"/>
    <w:rsid w:val="00D52642"/>
    <w:rsid w:val="00D534DD"/>
    <w:rsid w:val="00D53606"/>
    <w:rsid w:val="00D53D4B"/>
    <w:rsid w:val="00D549A8"/>
    <w:rsid w:val="00D54DE4"/>
    <w:rsid w:val="00D5627D"/>
    <w:rsid w:val="00D56498"/>
    <w:rsid w:val="00D5668C"/>
    <w:rsid w:val="00D5691E"/>
    <w:rsid w:val="00D56A69"/>
    <w:rsid w:val="00D5702F"/>
    <w:rsid w:val="00D573AF"/>
    <w:rsid w:val="00D57632"/>
    <w:rsid w:val="00D57EE6"/>
    <w:rsid w:val="00D6040F"/>
    <w:rsid w:val="00D62340"/>
    <w:rsid w:val="00D62380"/>
    <w:rsid w:val="00D627B1"/>
    <w:rsid w:val="00D62D40"/>
    <w:rsid w:val="00D63410"/>
    <w:rsid w:val="00D63DC3"/>
    <w:rsid w:val="00D6423B"/>
    <w:rsid w:val="00D644D7"/>
    <w:rsid w:val="00D64C03"/>
    <w:rsid w:val="00D6581F"/>
    <w:rsid w:val="00D65DE9"/>
    <w:rsid w:val="00D65FDE"/>
    <w:rsid w:val="00D663A5"/>
    <w:rsid w:val="00D664C2"/>
    <w:rsid w:val="00D66E93"/>
    <w:rsid w:val="00D67909"/>
    <w:rsid w:val="00D67C7D"/>
    <w:rsid w:val="00D73611"/>
    <w:rsid w:val="00D73978"/>
    <w:rsid w:val="00D750C0"/>
    <w:rsid w:val="00D75203"/>
    <w:rsid w:val="00D75700"/>
    <w:rsid w:val="00D75ECE"/>
    <w:rsid w:val="00D767D8"/>
    <w:rsid w:val="00D77374"/>
    <w:rsid w:val="00D77896"/>
    <w:rsid w:val="00D80744"/>
    <w:rsid w:val="00D80B5D"/>
    <w:rsid w:val="00D8160E"/>
    <w:rsid w:val="00D81E77"/>
    <w:rsid w:val="00D81F08"/>
    <w:rsid w:val="00D822F3"/>
    <w:rsid w:val="00D829E1"/>
    <w:rsid w:val="00D82A40"/>
    <w:rsid w:val="00D8330B"/>
    <w:rsid w:val="00D83B73"/>
    <w:rsid w:val="00D84218"/>
    <w:rsid w:val="00D84269"/>
    <w:rsid w:val="00D84A15"/>
    <w:rsid w:val="00D84BBB"/>
    <w:rsid w:val="00D84C4B"/>
    <w:rsid w:val="00D84FF6"/>
    <w:rsid w:val="00D8617C"/>
    <w:rsid w:val="00D8657B"/>
    <w:rsid w:val="00D8664F"/>
    <w:rsid w:val="00D8754A"/>
    <w:rsid w:val="00D87812"/>
    <w:rsid w:val="00D87FDE"/>
    <w:rsid w:val="00D90FEA"/>
    <w:rsid w:val="00D91268"/>
    <w:rsid w:val="00D914B5"/>
    <w:rsid w:val="00D928B0"/>
    <w:rsid w:val="00D93460"/>
    <w:rsid w:val="00D9401D"/>
    <w:rsid w:val="00D9420E"/>
    <w:rsid w:val="00D94219"/>
    <w:rsid w:val="00D94F19"/>
    <w:rsid w:val="00D95161"/>
    <w:rsid w:val="00D95867"/>
    <w:rsid w:val="00D95A96"/>
    <w:rsid w:val="00D95F76"/>
    <w:rsid w:val="00D97A36"/>
    <w:rsid w:val="00DA184F"/>
    <w:rsid w:val="00DA27AE"/>
    <w:rsid w:val="00DA3570"/>
    <w:rsid w:val="00DA3ABA"/>
    <w:rsid w:val="00DA423D"/>
    <w:rsid w:val="00DA4376"/>
    <w:rsid w:val="00DA5522"/>
    <w:rsid w:val="00DA5795"/>
    <w:rsid w:val="00DA57F8"/>
    <w:rsid w:val="00DA6CB0"/>
    <w:rsid w:val="00DA6D1F"/>
    <w:rsid w:val="00DA750E"/>
    <w:rsid w:val="00DA7DEB"/>
    <w:rsid w:val="00DB01D3"/>
    <w:rsid w:val="00DB163F"/>
    <w:rsid w:val="00DB2798"/>
    <w:rsid w:val="00DB2EA7"/>
    <w:rsid w:val="00DB354E"/>
    <w:rsid w:val="00DB3BCD"/>
    <w:rsid w:val="00DB49F7"/>
    <w:rsid w:val="00DB4A6D"/>
    <w:rsid w:val="00DB4E11"/>
    <w:rsid w:val="00DB60A8"/>
    <w:rsid w:val="00DB7166"/>
    <w:rsid w:val="00DB7300"/>
    <w:rsid w:val="00DB7D9D"/>
    <w:rsid w:val="00DC015F"/>
    <w:rsid w:val="00DC0A0F"/>
    <w:rsid w:val="00DC0EF0"/>
    <w:rsid w:val="00DC1720"/>
    <w:rsid w:val="00DC206E"/>
    <w:rsid w:val="00DC243A"/>
    <w:rsid w:val="00DC3134"/>
    <w:rsid w:val="00DC32F9"/>
    <w:rsid w:val="00DC352B"/>
    <w:rsid w:val="00DC39DA"/>
    <w:rsid w:val="00DC39E8"/>
    <w:rsid w:val="00DC3DBC"/>
    <w:rsid w:val="00DC4F10"/>
    <w:rsid w:val="00DC58C6"/>
    <w:rsid w:val="00DC5A0D"/>
    <w:rsid w:val="00DC6B25"/>
    <w:rsid w:val="00DC6BFE"/>
    <w:rsid w:val="00DC6EEB"/>
    <w:rsid w:val="00DC79F0"/>
    <w:rsid w:val="00DC7B9E"/>
    <w:rsid w:val="00DC7C1B"/>
    <w:rsid w:val="00DD06FB"/>
    <w:rsid w:val="00DD0989"/>
    <w:rsid w:val="00DD1350"/>
    <w:rsid w:val="00DD18A9"/>
    <w:rsid w:val="00DD1C1F"/>
    <w:rsid w:val="00DD2ADB"/>
    <w:rsid w:val="00DD2B33"/>
    <w:rsid w:val="00DD2BD3"/>
    <w:rsid w:val="00DD307C"/>
    <w:rsid w:val="00DD3115"/>
    <w:rsid w:val="00DD3638"/>
    <w:rsid w:val="00DD44FD"/>
    <w:rsid w:val="00DD52BB"/>
    <w:rsid w:val="00DD5407"/>
    <w:rsid w:val="00DD57E4"/>
    <w:rsid w:val="00DD66F9"/>
    <w:rsid w:val="00DD6C0B"/>
    <w:rsid w:val="00DD7276"/>
    <w:rsid w:val="00DD7DB6"/>
    <w:rsid w:val="00DD7FFA"/>
    <w:rsid w:val="00DE07BC"/>
    <w:rsid w:val="00DE1AAE"/>
    <w:rsid w:val="00DE21CF"/>
    <w:rsid w:val="00DE2A93"/>
    <w:rsid w:val="00DE3EE6"/>
    <w:rsid w:val="00DE4127"/>
    <w:rsid w:val="00DE4664"/>
    <w:rsid w:val="00DE4B12"/>
    <w:rsid w:val="00DE4F54"/>
    <w:rsid w:val="00DE5B43"/>
    <w:rsid w:val="00DE5D95"/>
    <w:rsid w:val="00DE690B"/>
    <w:rsid w:val="00DE71CB"/>
    <w:rsid w:val="00DE7A4C"/>
    <w:rsid w:val="00DE7F87"/>
    <w:rsid w:val="00DF0211"/>
    <w:rsid w:val="00DF025F"/>
    <w:rsid w:val="00DF06A0"/>
    <w:rsid w:val="00DF164D"/>
    <w:rsid w:val="00DF1E1B"/>
    <w:rsid w:val="00DF2208"/>
    <w:rsid w:val="00DF3459"/>
    <w:rsid w:val="00DF3709"/>
    <w:rsid w:val="00DF3910"/>
    <w:rsid w:val="00DF3F66"/>
    <w:rsid w:val="00DF470E"/>
    <w:rsid w:val="00DF5015"/>
    <w:rsid w:val="00DF538F"/>
    <w:rsid w:val="00DF56CC"/>
    <w:rsid w:val="00DF5ABE"/>
    <w:rsid w:val="00DF5DE3"/>
    <w:rsid w:val="00DF6290"/>
    <w:rsid w:val="00DF678A"/>
    <w:rsid w:val="00DF6EEF"/>
    <w:rsid w:val="00DF764C"/>
    <w:rsid w:val="00E00722"/>
    <w:rsid w:val="00E007F9"/>
    <w:rsid w:val="00E012D2"/>
    <w:rsid w:val="00E017C6"/>
    <w:rsid w:val="00E01B65"/>
    <w:rsid w:val="00E01B6F"/>
    <w:rsid w:val="00E0418E"/>
    <w:rsid w:val="00E04BAD"/>
    <w:rsid w:val="00E05399"/>
    <w:rsid w:val="00E063F0"/>
    <w:rsid w:val="00E065DD"/>
    <w:rsid w:val="00E067EE"/>
    <w:rsid w:val="00E0776A"/>
    <w:rsid w:val="00E07BDE"/>
    <w:rsid w:val="00E1074D"/>
    <w:rsid w:val="00E10D7B"/>
    <w:rsid w:val="00E10E93"/>
    <w:rsid w:val="00E114CF"/>
    <w:rsid w:val="00E117FE"/>
    <w:rsid w:val="00E12282"/>
    <w:rsid w:val="00E1246F"/>
    <w:rsid w:val="00E126C7"/>
    <w:rsid w:val="00E12E6B"/>
    <w:rsid w:val="00E132CA"/>
    <w:rsid w:val="00E155F8"/>
    <w:rsid w:val="00E15B38"/>
    <w:rsid w:val="00E15DA8"/>
    <w:rsid w:val="00E1795E"/>
    <w:rsid w:val="00E207EC"/>
    <w:rsid w:val="00E20CFD"/>
    <w:rsid w:val="00E216CB"/>
    <w:rsid w:val="00E21AF4"/>
    <w:rsid w:val="00E21CDF"/>
    <w:rsid w:val="00E22E8A"/>
    <w:rsid w:val="00E23D59"/>
    <w:rsid w:val="00E23E22"/>
    <w:rsid w:val="00E24C3F"/>
    <w:rsid w:val="00E25081"/>
    <w:rsid w:val="00E256DD"/>
    <w:rsid w:val="00E25C60"/>
    <w:rsid w:val="00E25D7A"/>
    <w:rsid w:val="00E268D3"/>
    <w:rsid w:val="00E26DF5"/>
    <w:rsid w:val="00E26F80"/>
    <w:rsid w:val="00E27953"/>
    <w:rsid w:val="00E27E91"/>
    <w:rsid w:val="00E27FC3"/>
    <w:rsid w:val="00E309F9"/>
    <w:rsid w:val="00E30B52"/>
    <w:rsid w:val="00E3181B"/>
    <w:rsid w:val="00E31AB7"/>
    <w:rsid w:val="00E327FF"/>
    <w:rsid w:val="00E32893"/>
    <w:rsid w:val="00E32C76"/>
    <w:rsid w:val="00E32F45"/>
    <w:rsid w:val="00E32F78"/>
    <w:rsid w:val="00E33342"/>
    <w:rsid w:val="00E33743"/>
    <w:rsid w:val="00E339E8"/>
    <w:rsid w:val="00E35586"/>
    <w:rsid w:val="00E361AB"/>
    <w:rsid w:val="00E36B15"/>
    <w:rsid w:val="00E37410"/>
    <w:rsid w:val="00E374FD"/>
    <w:rsid w:val="00E37AA7"/>
    <w:rsid w:val="00E37B71"/>
    <w:rsid w:val="00E40022"/>
    <w:rsid w:val="00E40506"/>
    <w:rsid w:val="00E4064D"/>
    <w:rsid w:val="00E40682"/>
    <w:rsid w:val="00E4068B"/>
    <w:rsid w:val="00E40D4C"/>
    <w:rsid w:val="00E40E82"/>
    <w:rsid w:val="00E4164C"/>
    <w:rsid w:val="00E41FB6"/>
    <w:rsid w:val="00E42029"/>
    <w:rsid w:val="00E422ED"/>
    <w:rsid w:val="00E42CF3"/>
    <w:rsid w:val="00E436AF"/>
    <w:rsid w:val="00E43E05"/>
    <w:rsid w:val="00E4409C"/>
    <w:rsid w:val="00E44567"/>
    <w:rsid w:val="00E44CC6"/>
    <w:rsid w:val="00E44EA9"/>
    <w:rsid w:val="00E45898"/>
    <w:rsid w:val="00E4628E"/>
    <w:rsid w:val="00E46361"/>
    <w:rsid w:val="00E47FD9"/>
    <w:rsid w:val="00E50A9A"/>
    <w:rsid w:val="00E50F51"/>
    <w:rsid w:val="00E51229"/>
    <w:rsid w:val="00E5139F"/>
    <w:rsid w:val="00E52716"/>
    <w:rsid w:val="00E528CC"/>
    <w:rsid w:val="00E52CF8"/>
    <w:rsid w:val="00E5315F"/>
    <w:rsid w:val="00E545BB"/>
    <w:rsid w:val="00E54C12"/>
    <w:rsid w:val="00E55041"/>
    <w:rsid w:val="00E55070"/>
    <w:rsid w:val="00E5560B"/>
    <w:rsid w:val="00E55B7A"/>
    <w:rsid w:val="00E564A2"/>
    <w:rsid w:val="00E574E8"/>
    <w:rsid w:val="00E60F6A"/>
    <w:rsid w:val="00E61505"/>
    <w:rsid w:val="00E61A50"/>
    <w:rsid w:val="00E61C9E"/>
    <w:rsid w:val="00E63649"/>
    <w:rsid w:val="00E636E6"/>
    <w:rsid w:val="00E63CD5"/>
    <w:rsid w:val="00E643C3"/>
    <w:rsid w:val="00E6480E"/>
    <w:rsid w:val="00E64D5D"/>
    <w:rsid w:val="00E64E71"/>
    <w:rsid w:val="00E65638"/>
    <w:rsid w:val="00E6579A"/>
    <w:rsid w:val="00E65B95"/>
    <w:rsid w:val="00E65DFC"/>
    <w:rsid w:val="00E65EB9"/>
    <w:rsid w:val="00E65F3D"/>
    <w:rsid w:val="00E663EC"/>
    <w:rsid w:val="00E672A2"/>
    <w:rsid w:val="00E67892"/>
    <w:rsid w:val="00E67D85"/>
    <w:rsid w:val="00E7011E"/>
    <w:rsid w:val="00E71243"/>
    <w:rsid w:val="00E7162C"/>
    <w:rsid w:val="00E717FA"/>
    <w:rsid w:val="00E71BF1"/>
    <w:rsid w:val="00E71BFA"/>
    <w:rsid w:val="00E72195"/>
    <w:rsid w:val="00E72306"/>
    <w:rsid w:val="00E72B6B"/>
    <w:rsid w:val="00E72CFA"/>
    <w:rsid w:val="00E72ECB"/>
    <w:rsid w:val="00E73DCD"/>
    <w:rsid w:val="00E754FF"/>
    <w:rsid w:val="00E80528"/>
    <w:rsid w:val="00E80B0F"/>
    <w:rsid w:val="00E81312"/>
    <w:rsid w:val="00E8135F"/>
    <w:rsid w:val="00E81631"/>
    <w:rsid w:val="00E81EFA"/>
    <w:rsid w:val="00E8390C"/>
    <w:rsid w:val="00E83AD4"/>
    <w:rsid w:val="00E84178"/>
    <w:rsid w:val="00E8422A"/>
    <w:rsid w:val="00E8472D"/>
    <w:rsid w:val="00E848C7"/>
    <w:rsid w:val="00E85308"/>
    <w:rsid w:val="00E85782"/>
    <w:rsid w:val="00E8613F"/>
    <w:rsid w:val="00E8615C"/>
    <w:rsid w:val="00E86BFA"/>
    <w:rsid w:val="00E86C46"/>
    <w:rsid w:val="00E87103"/>
    <w:rsid w:val="00E87424"/>
    <w:rsid w:val="00E90B20"/>
    <w:rsid w:val="00E90DD7"/>
    <w:rsid w:val="00E91303"/>
    <w:rsid w:val="00E91EC6"/>
    <w:rsid w:val="00E923B8"/>
    <w:rsid w:val="00E93126"/>
    <w:rsid w:val="00E938A5"/>
    <w:rsid w:val="00E94E47"/>
    <w:rsid w:val="00E94FFD"/>
    <w:rsid w:val="00E95AC3"/>
    <w:rsid w:val="00E971E9"/>
    <w:rsid w:val="00E973E3"/>
    <w:rsid w:val="00EA0154"/>
    <w:rsid w:val="00EA11D5"/>
    <w:rsid w:val="00EA1BFE"/>
    <w:rsid w:val="00EA2266"/>
    <w:rsid w:val="00EA25F5"/>
    <w:rsid w:val="00EA2E8E"/>
    <w:rsid w:val="00EA35AD"/>
    <w:rsid w:val="00EA3B5B"/>
    <w:rsid w:val="00EA3C27"/>
    <w:rsid w:val="00EA4942"/>
    <w:rsid w:val="00EA50EE"/>
    <w:rsid w:val="00EA53CD"/>
    <w:rsid w:val="00EA6339"/>
    <w:rsid w:val="00EA7262"/>
    <w:rsid w:val="00EA72B9"/>
    <w:rsid w:val="00EA7684"/>
    <w:rsid w:val="00EB08B0"/>
    <w:rsid w:val="00EB1BFA"/>
    <w:rsid w:val="00EB226F"/>
    <w:rsid w:val="00EB2321"/>
    <w:rsid w:val="00EB23A2"/>
    <w:rsid w:val="00EB3257"/>
    <w:rsid w:val="00EB3D53"/>
    <w:rsid w:val="00EB4146"/>
    <w:rsid w:val="00EB4225"/>
    <w:rsid w:val="00EB47B7"/>
    <w:rsid w:val="00EB4F5D"/>
    <w:rsid w:val="00EB5258"/>
    <w:rsid w:val="00EB5507"/>
    <w:rsid w:val="00EB5528"/>
    <w:rsid w:val="00EB6025"/>
    <w:rsid w:val="00EB6AC1"/>
    <w:rsid w:val="00EC009E"/>
    <w:rsid w:val="00EC01EB"/>
    <w:rsid w:val="00EC04E4"/>
    <w:rsid w:val="00EC07F7"/>
    <w:rsid w:val="00EC1A6D"/>
    <w:rsid w:val="00EC1CE9"/>
    <w:rsid w:val="00EC25EA"/>
    <w:rsid w:val="00EC2A71"/>
    <w:rsid w:val="00EC3017"/>
    <w:rsid w:val="00EC3D0B"/>
    <w:rsid w:val="00EC5139"/>
    <w:rsid w:val="00EC5939"/>
    <w:rsid w:val="00EC5D7D"/>
    <w:rsid w:val="00EC5EE7"/>
    <w:rsid w:val="00EC6CA8"/>
    <w:rsid w:val="00ED09DA"/>
    <w:rsid w:val="00ED0BE9"/>
    <w:rsid w:val="00ED0F4F"/>
    <w:rsid w:val="00ED1635"/>
    <w:rsid w:val="00ED18B4"/>
    <w:rsid w:val="00ED1CA0"/>
    <w:rsid w:val="00ED25CC"/>
    <w:rsid w:val="00ED2D0E"/>
    <w:rsid w:val="00ED2F77"/>
    <w:rsid w:val="00ED332A"/>
    <w:rsid w:val="00ED379C"/>
    <w:rsid w:val="00ED3925"/>
    <w:rsid w:val="00ED39B2"/>
    <w:rsid w:val="00ED3E73"/>
    <w:rsid w:val="00ED3FB4"/>
    <w:rsid w:val="00ED4195"/>
    <w:rsid w:val="00ED4227"/>
    <w:rsid w:val="00ED4C52"/>
    <w:rsid w:val="00ED565B"/>
    <w:rsid w:val="00ED5A0C"/>
    <w:rsid w:val="00ED5C39"/>
    <w:rsid w:val="00ED5FC5"/>
    <w:rsid w:val="00ED6AA7"/>
    <w:rsid w:val="00ED6D2A"/>
    <w:rsid w:val="00ED789D"/>
    <w:rsid w:val="00EE0A58"/>
    <w:rsid w:val="00EE11C5"/>
    <w:rsid w:val="00EE312D"/>
    <w:rsid w:val="00EE3765"/>
    <w:rsid w:val="00EE3783"/>
    <w:rsid w:val="00EE38C6"/>
    <w:rsid w:val="00EE3A5D"/>
    <w:rsid w:val="00EE5A14"/>
    <w:rsid w:val="00EE5A74"/>
    <w:rsid w:val="00EE5AAF"/>
    <w:rsid w:val="00EE5B2D"/>
    <w:rsid w:val="00EE7D0D"/>
    <w:rsid w:val="00EE7E71"/>
    <w:rsid w:val="00EF0397"/>
    <w:rsid w:val="00EF06FC"/>
    <w:rsid w:val="00EF070F"/>
    <w:rsid w:val="00EF0B34"/>
    <w:rsid w:val="00EF16D6"/>
    <w:rsid w:val="00EF2456"/>
    <w:rsid w:val="00EF25BE"/>
    <w:rsid w:val="00EF268C"/>
    <w:rsid w:val="00EF2E86"/>
    <w:rsid w:val="00EF3856"/>
    <w:rsid w:val="00EF3F52"/>
    <w:rsid w:val="00EF459B"/>
    <w:rsid w:val="00EF4D73"/>
    <w:rsid w:val="00EF5B92"/>
    <w:rsid w:val="00EF62EE"/>
    <w:rsid w:val="00EF70D0"/>
    <w:rsid w:val="00F0001E"/>
    <w:rsid w:val="00F00AE6"/>
    <w:rsid w:val="00F00B06"/>
    <w:rsid w:val="00F015D9"/>
    <w:rsid w:val="00F018C4"/>
    <w:rsid w:val="00F020E8"/>
    <w:rsid w:val="00F022E3"/>
    <w:rsid w:val="00F036EB"/>
    <w:rsid w:val="00F03AC4"/>
    <w:rsid w:val="00F049EA"/>
    <w:rsid w:val="00F04A24"/>
    <w:rsid w:val="00F04E45"/>
    <w:rsid w:val="00F05600"/>
    <w:rsid w:val="00F0562E"/>
    <w:rsid w:val="00F05EF6"/>
    <w:rsid w:val="00F061D3"/>
    <w:rsid w:val="00F06794"/>
    <w:rsid w:val="00F068A1"/>
    <w:rsid w:val="00F070E4"/>
    <w:rsid w:val="00F10246"/>
    <w:rsid w:val="00F10A30"/>
    <w:rsid w:val="00F10B06"/>
    <w:rsid w:val="00F10EE8"/>
    <w:rsid w:val="00F11361"/>
    <w:rsid w:val="00F11546"/>
    <w:rsid w:val="00F1155E"/>
    <w:rsid w:val="00F12588"/>
    <w:rsid w:val="00F1284F"/>
    <w:rsid w:val="00F135E6"/>
    <w:rsid w:val="00F14F06"/>
    <w:rsid w:val="00F14F70"/>
    <w:rsid w:val="00F150E6"/>
    <w:rsid w:val="00F1550D"/>
    <w:rsid w:val="00F16375"/>
    <w:rsid w:val="00F16776"/>
    <w:rsid w:val="00F1685A"/>
    <w:rsid w:val="00F169C5"/>
    <w:rsid w:val="00F1741A"/>
    <w:rsid w:val="00F178DB"/>
    <w:rsid w:val="00F1799A"/>
    <w:rsid w:val="00F20D12"/>
    <w:rsid w:val="00F215C3"/>
    <w:rsid w:val="00F21DF1"/>
    <w:rsid w:val="00F220DE"/>
    <w:rsid w:val="00F22AA4"/>
    <w:rsid w:val="00F22BF2"/>
    <w:rsid w:val="00F2351C"/>
    <w:rsid w:val="00F236F9"/>
    <w:rsid w:val="00F242E2"/>
    <w:rsid w:val="00F24A2D"/>
    <w:rsid w:val="00F253A7"/>
    <w:rsid w:val="00F254F0"/>
    <w:rsid w:val="00F25DBB"/>
    <w:rsid w:val="00F26B6A"/>
    <w:rsid w:val="00F27366"/>
    <w:rsid w:val="00F27CC5"/>
    <w:rsid w:val="00F310C2"/>
    <w:rsid w:val="00F31350"/>
    <w:rsid w:val="00F315F9"/>
    <w:rsid w:val="00F31EA6"/>
    <w:rsid w:val="00F3270F"/>
    <w:rsid w:val="00F333BB"/>
    <w:rsid w:val="00F3364D"/>
    <w:rsid w:val="00F3372E"/>
    <w:rsid w:val="00F3382F"/>
    <w:rsid w:val="00F33C1F"/>
    <w:rsid w:val="00F33DF1"/>
    <w:rsid w:val="00F348A1"/>
    <w:rsid w:val="00F350CF"/>
    <w:rsid w:val="00F35297"/>
    <w:rsid w:val="00F356E4"/>
    <w:rsid w:val="00F35CA2"/>
    <w:rsid w:val="00F367F5"/>
    <w:rsid w:val="00F3712D"/>
    <w:rsid w:val="00F375AB"/>
    <w:rsid w:val="00F375F0"/>
    <w:rsid w:val="00F4003D"/>
    <w:rsid w:val="00F40DF5"/>
    <w:rsid w:val="00F414B4"/>
    <w:rsid w:val="00F41C0F"/>
    <w:rsid w:val="00F42296"/>
    <w:rsid w:val="00F42417"/>
    <w:rsid w:val="00F42718"/>
    <w:rsid w:val="00F428B7"/>
    <w:rsid w:val="00F42E9B"/>
    <w:rsid w:val="00F43B3D"/>
    <w:rsid w:val="00F43EBD"/>
    <w:rsid w:val="00F44294"/>
    <w:rsid w:val="00F4491A"/>
    <w:rsid w:val="00F45D34"/>
    <w:rsid w:val="00F46A53"/>
    <w:rsid w:val="00F46B26"/>
    <w:rsid w:val="00F477F2"/>
    <w:rsid w:val="00F47F8F"/>
    <w:rsid w:val="00F503F1"/>
    <w:rsid w:val="00F5184C"/>
    <w:rsid w:val="00F530A5"/>
    <w:rsid w:val="00F53749"/>
    <w:rsid w:val="00F53753"/>
    <w:rsid w:val="00F53802"/>
    <w:rsid w:val="00F54667"/>
    <w:rsid w:val="00F54EA0"/>
    <w:rsid w:val="00F56053"/>
    <w:rsid w:val="00F5641D"/>
    <w:rsid w:val="00F5771F"/>
    <w:rsid w:val="00F606D2"/>
    <w:rsid w:val="00F609F1"/>
    <w:rsid w:val="00F60B7F"/>
    <w:rsid w:val="00F61542"/>
    <w:rsid w:val="00F617BF"/>
    <w:rsid w:val="00F61AF6"/>
    <w:rsid w:val="00F63F9B"/>
    <w:rsid w:val="00F63FE5"/>
    <w:rsid w:val="00F64EEC"/>
    <w:rsid w:val="00F65C98"/>
    <w:rsid w:val="00F66001"/>
    <w:rsid w:val="00F671CF"/>
    <w:rsid w:val="00F67214"/>
    <w:rsid w:val="00F67687"/>
    <w:rsid w:val="00F701A3"/>
    <w:rsid w:val="00F71196"/>
    <w:rsid w:val="00F7123D"/>
    <w:rsid w:val="00F713BF"/>
    <w:rsid w:val="00F71C08"/>
    <w:rsid w:val="00F722D5"/>
    <w:rsid w:val="00F723F4"/>
    <w:rsid w:val="00F72C74"/>
    <w:rsid w:val="00F7309D"/>
    <w:rsid w:val="00F739D7"/>
    <w:rsid w:val="00F7431B"/>
    <w:rsid w:val="00F748D0"/>
    <w:rsid w:val="00F74E3E"/>
    <w:rsid w:val="00F7531D"/>
    <w:rsid w:val="00F75651"/>
    <w:rsid w:val="00F758B1"/>
    <w:rsid w:val="00F75C0A"/>
    <w:rsid w:val="00F760AA"/>
    <w:rsid w:val="00F76AE4"/>
    <w:rsid w:val="00F76FEF"/>
    <w:rsid w:val="00F77438"/>
    <w:rsid w:val="00F777C5"/>
    <w:rsid w:val="00F77FA7"/>
    <w:rsid w:val="00F80608"/>
    <w:rsid w:val="00F80CB6"/>
    <w:rsid w:val="00F81A68"/>
    <w:rsid w:val="00F81E7D"/>
    <w:rsid w:val="00F822C7"/>
    <w:rsid w:val="00F82742"/>
    <w:rsid w:val="00F828AC"/>
    <w:rsid w:val="00F83271"/>
    <w:rsid w:val="00F83E10"/>
    <w:rsid w:val="00F84453"/>
    <w:rsid w:val="00F84C47"/>
    <w:rsid w:val="00F84C9B"/>
    <w:rsid w:val="00F84E41"/>
    <w:rsid w:val="00F852B1"/>
    <w:rsid w:val="00F8599C"/>
    <w:rsid w:val="00F85DFB"/>
    <w:rsid w:val="00F85E53"/>
    <w:rsid w:val="00F861AA"/>
    <w:rsid w:val="00F862F5"/>
    <w:rsid w:val="00F869F1"/>
    <w:rsid w:val="00F8758C"/>
    <w:rsid w:val="00F87BB3"/>
    <w:rsid w:val="00F90F31"/>
    <w:rsid w:val="00F91109"/>
    <w:rsid w:val="00F91CEC"/>
    <w:rsid w:val="00F92050"/>
    <w:rsid w:val="00F92B99"/>
    <w:rsid w:val="00F94092"/>
    <w:rsid w:val="00F94616"/>
    <w:rsid w:val="00F948B0"/>
    <w:rsid w:val="00F94BAF"/>
    <w:rsid w:val="00F95A51"/>
    <w:rsid w:val="00F95C90"/>
    <w:rsid w:val="00F95CC7"/>
    <w:rsid w:val="00F964D6"/>
    <w:rsid w:val="00F96D63"/>
    <w:rsid w:val="00F975EA"/>
    <w:rsid w:val="00F977FC"/>
    <w:rsid w:val="00F979FC"/>
    <w:rsid w:val="00F97BA4"/>
    <w:rsid w:val="00FA0D52"/>
    <w:rsid w:val="00FA143D"/>
    <w:rsid w:val="00FA1971"/>
    <w:rsid w:val="00FA2461"/>
    <w:rsid w:val="00FA2A39"/>
    <w:rsid w:val="00FA3652"/>
    <w:rsid w:val="00FA3848"/>
    <w:rsid w:val="00FA3CA8"/>
    <w:rsid w:val="00FA3F7A"/>
    <w:rsid w:val="00FA405C"/>
    <w:rsid w:val="00FA4755"/>
    <w:rsid w:val="00FA524B"/>
    <w:rsid w:val="00FA5ECC"/>
    <w:rsid w:val="00FA67E9"/>
    <w:rsid w:val="00FA739E"/>
    <w:rsid w:val="00FA7B26"/>
    <w:rsid w:val="00FA7E45"/>
    <w:rsid w:val="00FB0F00"/>
    <w:rsid w:val="00FB14DA"/>
    <w:rsid w:val="00FB17F1"/>
    <w:rsid w:val="00FB18F4"/>
    <w:rsid w:val="00FB1B71"/>
    <w:rsid w:val="00FB23E7"/>
    <w:rsid w:val="00FB24B3"/>
    <w:rsid w:val="00FB25C5"/>
    <w:rsid w:val="00FB28D5"/>
    <w:rsid w:val="00FB392E"/>
    <w:rsid w:val="00FB3C60"/>
    <w:rsid w:val="00FB4422"/>
    <w:rsid w:val="00FB4594"/>
    <w:rsid w:val="00FB473D"/>
    <w:rsid w:val="00FB4C21"/>
    <w:rsid w:val="00FB6241"/>
    <w:rsid w:val="00FB6503"/>
    <w:rsid w:val="00FB6AE7"/>
    <w:rsid w:val="00FB7461"/>
    <w:rsid w:val="00FB7630"/>
    <w:rsid w:val="00FC0418"/>
    <w:rsid w:val="00FC063C"/>
    <w:rsid w:val="00FC0FB7"/>
    <w:rsid w:val="00FC1D53"/>
    <w:rsid w:val="00FC253B"/>
    <w:rsid w:val="00FC2593"/>
    <w:rsid w:val="00FC35CF"/>
    <w:rsid w:val="00FC37AB"/>
    <w:rsid w:val="00FC3B3E"/>
    <w:rsid w:val="00FC3BBC"/>
    <w:rsid w:val="00FC4054"/>
    <w:rsid w:val="00FC406F"/>
    <w:rsid w:val="00FC4DB7"/>
    <w:rsid w:val="00FC4DC3"/>
    <w:rsid w:val="00FC4F30"/>
    <w:rsid w:val="00FC4F47"/>
    <w:rsid w:val="00FC54B9"/>
    <w:rsid w:val="00FC572C"/>
    <w:rsid w:val="00FC57FB"/>
    <w:rsid w:val="00FC581D"/>
    <w:rsid w:val="00FC59D6"/>
    <w:rsid w:val="00FC5FD7"/>
    <w:rsid w:val="00FC629A"/>
    <w:rsid w:val="00FC6400"/>
    <w:rsid w:val="00FC6EF6"/>
    <w:rsid w:val="00FD010E"/>
    <w:rsid w:val="00FD02B4"/>
    <w:rsid w:val="00FD0735"/>
    <w:rsid w:val="00FD0A8B"/>
    <w:rsid w:val="00FD17D1"/>
    <w:rsid w:val="00FD2011"/>
    <w:rsid w:val="00FD295A"/>
    <w:rsid w:val="00FD2F94"/>
    <w:rsid w:val="00FD32F0"/>
    <w:rsid w:val="00FD3BB4"/>
    <w:rsid w:val="00FD4BC7"/>
    <w:rsid w:val="00FD6793"/>
    <w:rsid w:val="00FD70E4"/>
    <w:rsid w:val="00FD7270"/>
    <w:rsid w:val="00FD7B70"/>
    <w:rsid w:val="00FE0908"/>
    <w:rsid w:val="00FE14DC"/>
    <w:rsid w:val="00FE194C"/>
    <w:rsid w:val="00FE5A36"/>
    <w:rsid w:val="00FE5B81"/>
    <w:rsid w:val="00FE6009"/>
    <w:rsid w:val="00FE6BDB"/>
    <w:rsid w:val="00FE79D3"/>
    <w:rsid w:val="00FE7B4F"/>
    <w:rsid w:val="00FF003F"/>
    <w:rsid w:val="00FF0F6B"/>
    <w:rsid w:val="00FF1551"/>
    <w:rsid w:val="00FF16AB"/>
    <w:rsid w:val="00FF44EA"/>
    <w:rsid w:val="00FF5509"/>
    <w:rsid w:val="00FF5693"/>
    <w:rsid w:val="00FF5B93"/>
    <w:rsid w:val="00FF5CC5"/>
    <w:rsid w:val="010079BB"/>
    <w:rsid w:val="01682D81"/>
    <w:rsid w:val="017B18CE"/>
    <w:rsid w:val="017C4A69"/>
    <w:rsid w:val="018A2729"/>
    <w:rsid w:val="01974657"/>
    <w:rsid w:val="01CD1AD7"/>
    <w:rsid w:val="01DA2D1E"/>
    <w:rsid w:val="01F82100"/>
    <w:rsid w:val="01FF6BF4"/>
    <w:rsid w:val="0216454F"/>
    <w:rsid w:val="021A331A"/>
    <w:rsid w:val="02341D95"/>
    <w:rsid w:val="023C6406"/>
    <w:rsid w:val="023E1452"/>
    <w:rsid w:val="0241372B"/>
    <w:rsid w:val="02500A90"/>
    <w:rsid w:val="02517503"/>
    <w:rsid w:val="026366A4"/>
    <w:rsid w:val="029260DA"/>
    <w:rsid w:val="02A013CC"/>
    <w:rsid w:val="02A20E2E"/>
    <w:rsid w:val="02B61AAA"/>
    <w:rsid w:val="02E32CAA"/>
    <w:rsid w:val="030011F0"/>
    <w:rsid w:val="031D191B"/>
    <w:rsid w:val="033974D5"/>
    <w:rsid w:val="03414FBE"/>
    <w:rsid w:val="03585162"/>
    <w:rsid w:val="03607240"/>
    <w:rsid w:val="036C1FA8"/>
    <w:rsid w:val="03EA1C71"/>
    <w:rsid w:val="03FC64B4"/>
    <w:rsid w:val="04007188"/>
    <w:rsid w:val="0416351C"/>
    <w:rsid w:val="04320EAF"/>
    <w:rsid w:val="0449455E"/>
    <w:rsid w:val="04664BB4"/>
    <w:rsid w:val="04C12BDE"/>
    <w:rsid w:val="04CA5E00"/>
    <w:rsid w:val="04D408DE"/>
    <w:rsid w:val="04EA0610"/>
    <w:rsid w:val="050D3FA7"/>
    <w:rsid w:val="052C0DD8"/>
    <w:rsid w:val="05340F5C"/>
    <w:rsid w:val="053931D4"/>
    <w:rsid w:val="05685F23"/>
    <w:rsid w:val="056916D1"/>
    <w:rsid w:val="05AB5F13"/>
    <w:rsid w:val="05B55F23"/>
    <w:rsid w:val="05BD3E50"/>
    <w:rsid w:val="05D153A6"/>
    <w:rsid w:val="05E22B8A"/>
    <w:rsid w:val="06040A4A"/>
    <w:rsid w:val="06090877"/>
    <w:rsid w:val="060E7EB4"/>
    <w:rsid w:val="061C54C1"/>
    <w:rsid w:val="06484EE3"/>
    <w:rsid w:val="06624FD6"/>
    <w:rsid w:val="067C5CAA"/>
    <w:rsid w:val="067F2648"/>
    <w:rsid w:val="069E2466"/>
    <w:rsid w:val="06A563F8"/>
    <w:rsid w:val="06DC2B38"/>
    <w:rsid w:val="06DC62B2"/>
    <w:rsid w:val="07251309"/>
    <w:rsid w:val="072A0EDD"/>
    <w:rsid w:val="073A1EA2"/>
    <w:rsid w:val="073B284A"/>
    <w:rsid w:val="07460D0F"/>
    <w:rsid w:val="074723AC"/>
    <w:rsid w:val="074D7852"/>
    <w:rsid w:val="076B0F62"/>
    <w:rsid w:val="07986B08"/>
    <w:rsid w:val="07A6497C"/>
    <w:rsid w:val="07B95337"/>
    <w:rsid w:val="07C22E7C"/>
    <w:rsid w:val="07C2633A"/>
    <w:rsid w:val="080C1C7D"/>
    <w:rsid w:val="08165983"/>
    <w:rsid w:val="08196485"/>
    <w:rsid w:val="08445D91"/>
    <w:rsid w:val="08507FBF"/>
    <w:rsid w:val="086761EC"/>
    <w:rsid w:val="086E03CC"/>
    <w:rsid w:val="086F4DF2"/>
    <w:rsid w:val="08807081"/>
    <w:rsid w:val="088A1E28"/>
    <w:rsid w:val="08A654C8"/>
    <w:rsid w:val="08BC182D"/>
    <w:rsid w:val="08D941A7"/>
    <w:rsid w:val="08E1195D"/>
    <w:rsid w:val="08F27F81"/>
    <w:rsid w:val="09142240"/>
    <w:rsid w:val="093558CE"/>
    <w:rsid w:val="093F247A"/>
    <w:rsid w:val="096E01CA"/>
    <w:rsid w:val="096F4683"/>
    <w:rsid w:val="099F2F27"/>
    <w:rsid w:val="09AA132A"/>
    <w:rsid w:val="09D8676F"/>
    <w:rsid w:val="0A215427"/>
    <w:rsid w:val="0A252076"/>
    <w:rsid w:val="0A475175"/>
    <w:rsid w:val="0A602694"/>
    <w:rsid w:val="0A77290B"/>
    <w:rsid w:val="0A897248"/>
    <w:rsid w:val="0A9B629E"/>
    <w:rsid w:val="0AC521FC"/>
    <w:rsid w:val="0AF92A23"/>
    <w:rsid w:val="0B090881"/>
    <w:rsid w:val="0B192937"/>
    <w:rsid w:val="0B270C56"/>
    <w:rsid w:val="0B5C40F1"/>
    <w:rsid w:val="0B640542"/>
    <w:rsid w:val="0B6E5157"/>
    <w:rsid w:val="0B837692"/>
    <w:rsid w:val="0B88602A"/>
    <w:rsid w:val="0B945098"/>
    <w:rsid w:val="0B964315"/>
    <w:rsid w:val="0BA03137"/>
    <w:rsid w:val="0BB04D0C"/>
    <w:rsid w:val="0BB76B40"/>
    <w:rsid w:val="0BB935C9"/>
    <w:rsid w:val="0BBA3748"/>
    <w:rsid w:val="0BC55C67"/>
    <w:rsid w:val="0BCE256D"/>
    <w:rsid w:val="0C0D4339"/>
    <w:rsid w:val="0C214104"/>
    <w:rsid w:val="0C27796E"/>
    <w:rsid w:val="0C467198"/>
    <w:rsid w:val="0C4749E0"/>
    <w:rsid w:val="0C5078A7"/>
    <w:rsid w:val="0C5244BE"/>
    <w:rsid w:val="0C58520F"/>
    <w:rsid w:val="0C642B00"/>
    <w:rsid w:val="0C6A60DC"/>
    <w:rsid w:val="0C6E600B"/>
    <w:rsid w:val="0C716A03"/>
    <w:rsid w:val="0C757C4B"/>
    <w:rsid w:val="0CA27C37"/>
    <w:rsid w:val="0CD15F71"/>
    <w:rsid w:val="0CD46F8B"/>
    <w:rsid w:val="0CDF4DE5"/>
    <w:rsid w:val="0CDF778A"/>
    <w:rsid w:val="0CEB1FBC"/>
    <w:rsid w:val="0CEF49C8"/>
    <w:rsid w:val="0D0B4FC6"/>
    <w:rsid w:val="0D2B3EEF"/>
    <w:rsid w:val="0D4370DB"/>
    <w:rsid w:val="0D5813F1"/>
    <w:rsid w:val="0D5F3465"/>
    <w:rsid w:val="0D6F1C57"/>
    <w:rsid w:val="0D713096"/>
    <w:rsid w:val="0D790B92"/>
    <w:rsid w:val="0D8B4CB0"/>
    <w:rsid w:val="0E0E38F9"/>
    <w:rsid w:val="0E2F7832"/>
    <w:rsid w:val="0E444242"/>
    <w:rsid w:val="0E502259"/>
    <w:rsid w:val="0E653385"/>
    <w:rsid w:val="0E6C7069"/>
    <w:rsid w:val="0E7D08FD"/>
    <w:rsid w:val="0E7F4F5C"/>
    <w:rsid w:val="0E897646"/>
    <w:rsid w:val="0E991C4A"/>
    <w:rsid w:val="0EA4580E"/>
    <w:rsid w:val="0EB5764A"/>
    <w:rsid w:val="0EC614EF"/>
    <w:rsid w:val="0EC61545"/>
    <w:rsid w:val="0ED735D2"/>
    <w:rsid w:val="0EDB7A65"/>
    <w:rsid w:val="0EE240B2"/>
    <w:rsid w:val="0EF951E2"/>
    <w:rsid w:val="0F020E92"/>
    <w:rsid w:val="0F1C79A4"/>
    <w:rsid w:val="0F3C4DF4"/>
    <w:rsid w:val="0F452AA3"/>
    <w:rsid w:val="0F6B50C8"/>
    <w:rsid w:val="0F785986"/>
    <w:rsid w:val="0F7F57AB"/>
    <w:rsid w:val="0F9F16BB"/>
    <w:rsid w:val="0FAC2E2C"/>
    <w:rsid w:val="0FC30D9D"/>
    <w:rsid w:val="0FD70D4B"/>
    <w:rsid w:val="0FDA153A"/>
    <w:rsid w:val="105B06B5"/>
    <w:rsid w:val="1067736C"/>
    <w:rsid w:val="106E6079"/>
    <w:rsid w:val="107D5C94"/>
    <w:rsid w:val="10BB072F"/>
    <w:rsid w:val="10D3372E"/>
    <w:rsid w:val="10DC74F7"/>
    <w:rsid w:val="110B3445"/>
    <w:rsid w:val="110F7840"/>
    <w:rsid w:val="11165752"/>
    <w:rsid w:val="1119241C"/>
    <w:rsid w:val="111C5A65"/>
    <w:rsid w:val="112C53E6"/>
    <w:rsid w:val="1147254A"/>
    <w:rsid w:val="114D0AE6"/>
    <w:rsid w:val="115771E9"/>
    <w:rsid w:val="1165016E"/>
    <w:rsid w:val="11772720"/>
    <w:rsid w:val="11AE498A"/>
    <w:rsid w:val="11B14A54"/>
    <w:rsid w:val="11C03F54"/>
    <w:rsid w:val="11D566E5"/>
    <w:rsid w:val="11D81A53"/>
    <w:rsid w:val="11F052AC"/>
    <w:rsid w:val="11F1254E"/>
    <w:rsid w:val="122C7B8C"/>
    <w:rsid w:val="12312110"/>
    <w:rsid w:val="12504B7E"/>
    <w:rsid w:val="125C031C"/>
    <w:rsid w:val="128601E4"/>
    <w:rsid w:val="12B3764E"/>
    <w:rsid w:val="12BC4EE6"/>
    <w:rsid w:val="12CF2D46"/>
    <w:rsid w:val="12E77E6E"/>
    <w:rsid w:val="12EC6154"/>
    <w:rsid w:val="13025F7C"/>
    <w:rsid w:val="13101C87"/>
    <w:rsid w:val="13296BE6"/>
    <w:rsid w:val="132C6DC0"/>
    <w:rsid w:val="13395CA2"/>
    <w:rsid w:val="133B3DC9"/>
    <w:rsid w:val="134E1234"/>
    <w:rsid w:val="13794482"/>
    <w:rsid w:val="138B60B1"/>
    <w:rsid w:val="139D68B5"/>
    <w:rsid w:val="13B3424B"/>
    <w:rsid w:val="13D93C4A"/>
    <w:rsid w:val="13E91695"/>
    <w:rsid w:val="13FC048F"/>
    <w:rsid w:val="1405213F"/>
    <w:rsid w:val="14114F50"/>
    <w:rsid w:val="14184AB5"/>
    <w:rsid w:val="14273EAF"/>
    <w:rsid w:val="14341593"/>
    <w:rsid w:val="14562441"/>
    <w:rsid w:val="14563910"/>
    <w:rsid w:val="14633B1D"/>
    <w:rsid w:val="147802F4"/>
    <w:rsid w:val="14923698"/>
    <w:rsid w:val="14A21F22"/>
    <w:rsid w:val="14AD5D51"/>
    <w:rsid w:val="14B1142D"/>
    <w:rsid w:val="14BB55B7"/>
    <w:rsid w:val="14D75A78"/>
    <w:rsid w:val="14FB2D04"/>
    <w:rsid w:val="1530779E"/>
    <w:rsid w:val="154A1CB4"/>
    <w:rsid w:val="156E58CB"/>
    <w:rsid w:val="1599779C"/>
    <w:rsid w:val="159A6C10"/>
    <w:rsid w:val="15A034B0"/>
    <w:rsid w:val="15B1194E"/>
    <w:rsid w:val="15BD4249"/>
    <w:rsid w:val="15EA587C"/>
    <w:rsid w:val="15F327DE"/>
    <w:rsid w:val="15F43435"/>
    <w:rsid w:val="16187BE2"/>
    <w:rsid w:val="16242392"/>
    <w:rsid w:val="163508AB"/>
    <w:rsid w:val="16383D5D"/>
    <w:rsid w:val="16464791"/>
    <w:rsid w:val="165B42F6"/>
    <w:rsid w:val="165E6ADF"/>
    <w:rsid w:val="165F19C3"/>
    <w:rsid w:val="16834438"/>
    <w:rsid w:val="168511E0"/>
    <w:rsid w:val="169A4C2B"/>
    <w:rsid w:val="169E4315"/>
    <w:rsid w:val="16A8778E"/>
    <w:rsid w:val="16C404E9"/>
    <w:rsid w:val="16D00833"/>
    <w:rsid w:val="16E43443"/>
    <w:rsid w:val="16E83878"/>
    <w:rsid w:val="16EF703E"/>
    <w:rsid w:val="16FB7230"/>
    <w:rsid w:val="170C1833"/>
    <w:rsid w:val="171E1DB0"/>
    <w:rsid w:val="1723749D"/>
    <w:rsid w:val="172B67B1"/>
    <w:rsid w:val="173449C0"/>
    <w:rsid w:val="1752760F"/>
    <w:rsid w:val="17595D98"/>
    <w:rsid w:val="17596EBF"/>
    <w:rsid w:val="177A7C30"/>
    <w:rsid w:val="17966297"/>
    <w:rsid w:val="17AF4342"/>
    <w:rsid w:val="17B471EC"/>
    <w:rsid w:val="17C92D9B"/>
    <w:rsid w:val="17EB42EA"/>
    <w:rsid w:val="17F235AE"/>
    <w:rsid w:val="17F74DD6"/>
    <w:rsid w:val="17FF4D75"/>
    <w:rsid w:val="180F07A0"/>
    <w:rsid w:val="180F7D78"/>
    <w:rsid w:val="182C126E"/>
    <w:rsid w:val="183412C4"/>
    <w:rsid w:val="183F06FB"/>
    <w:rsid w:val="184234B6"/>
    <w:rsid w:val="184956C0"/>
    <w:rsid w:val="18506585"/>
    <w:rsid w:val="18510F77"/>
    <w:rsid w:val="185F136A"/>
    <w:rsid w:val="18602508"/>
    <w:rsid w:val="188104EC"/>
    <w:rsid w:val="1886676C"/>
    <w:rsid w:val="18AD148E"/>
    <w:rsid w:val="18C02EB1"/>
    <w:rsid w:val="18C23DEA"/>
    <w:rsid w:val="18D86177"/>
    <w:rsid w:val="18E72F09"/>
    <w:rsid w:val="18EB6207"/>
    <w:rsid w:val="18ED054D"/>
    <w:rsid w:val="18EF56C9"/>
    <w:rsid w:val="19123C01"/>
    <w:rsid w:val="191D3443"/>
    <w:rsid w:val="191F14F7"/>
    <w:rsid w:val="19211E4A"/>
    <w:rsid w:val="192523D9"/>
    <w:rsid w:val="193C2D1F"/>
    <w:rsid w:val="1949394F"/>
    <w:rsid w:val="194A09D1"/>
    <w:rsid w:val="194F542D"/>
    <w:rsid w:val="195A69E2"/>
    <w:rsid w:val="196C4BCF"/>
    <w:rsid w:val="196D0E52"/>
    <w:rsid w:val="198D4F24"/>
    <w:rsid w:val="198E5FDF"/>
    <w:rsid w:val="19A53483"/>
    <w:rsid w:val="19DF6CA8"/>
    <w:rsid w:val="19F83737"/>
    <w:rsid w:val="1A0465AB"/>
    <w:rsid w:val="1A0F1133"/>
    <w:rsid w:val="1A0F4411"/>
    <w:rsid w:val="1A45747F"/>
    <w:rsid w:val="1A714FBD"/>
    <w:rsid w:val="1A717D87"/>
    <w:rsid w:val="1A827C59"/>
    <w:rsid w:val="1AB662B3"/>
    <w:rsid w:val="1AD03F10"/>
    <w:rsid w:val="1AE5675D"/>
    <w:rsid w:val="1B0B140E"/>
    <w:rsid w:val="1B0D0D97"/>
    <w:rsid w:val="1B0D2ED3"/>
    <w:rsid w:val="1B0E7FC3"/>
    <w:rsid w:val="1B10064F"/>
    <w:rsid w:val="1B3C436B"/>
    <w:rsid w:val="1B441C42"/>
    <w:rsid w:val="1B652A3F"/>
    <w:rsid w:val="1B67231A"/>
    <w:rsid w:val="1B7E6F5B"/>
    <w:rsid w:val="1B982D30"/>
    <w:rsid w:val="1B997B34"/>
    <w:rsid w:val="1BB96A66"/>
    <w:rsid w:val="1BBE59BD"/>
    <w:rsid w:val="1BD96119"/>
    <w:rsid w:val="1BF22BF6"/>
    <w:rsid w:val="1BF57DE3"/>
    <w:rsid w:val="1BF9527B"/>
    <w:rsid w:val="1BFE041E"/>
    <w:rsid w:val="1C0420A7"/>
    <w:rsid w:val="1C3A226A"/>
    <w:rsid w:val="1C3A7A94"/>
    <w:rsid w:val="1C507799"/>
    <w:rsid w:val="1C6618F3"/>
    <w:rsid w:val="1C6B6641"/>
    <w:rsid w:val="1C807C72"/>
    <w:rsid w:val="1C8F6608"/>
    <w:rsid w:val="1C9D468A"/>
    <w:rsid w:val="1CB21616"/>
    <w:rsid w:val="1CC21F78"/>
    <w:rsid w:val="1CCF5FC1"/>
    <w:rsid w:val="1CDD70BA"/>
    <w:rsid w:val="1CF76B6C"/>
    <w:rsid w:val="1D004164"/>
    <w:rsid w:val="1D0D1E52"/>
    <w:rsid w:val="1D175EF1"/>
    <w:rsid w:val="1D352B62"/>
    <w:rsid w:val="1D391836"/>
    <w:rsid w:val="1D406A40"/>
    <w:rsid w:val="1D4A7214"/>
    <w:rsid w:val="1D4B7032"/>
    <w:rsid w:val="1D527285"/>
    <w:rsid w:val="1D741F8D"/>
    <w:rsid w:val="1D7712F6"/>
    <w:rsid w:val="1D7A36E0"/>
    <w:rsid w:val="1D7F18F1"/>
    <w:rsid w:val="1D8C7002"/>
    <w:rsid w:val="1DA96C11"/>
    <w:rsid w:val="1DAE3E63"/>
    <w:rsid w:val="1DB13968"/>
    <w:rsid w:val="1DC36EBB"/>
    <w:rsid w:val="1DC41550"/>
    <w:rsid w:val="1DDD1116"/>
    <w:rsid w:val="1E0425AB"/>
    <w:rsid w:val="1E107F79"/>
    <w:rsid w:val="1E260ACE"/>
    <w:rsid w:val="1E41176C"/>
    <w:rsid w:val="1E464A2F"/>
    <w:rsid w:val="1E771627"/>
    <w:rsid w:val="1E943E71"/>
    <w:rsid w:val="1E9E26A6"/>
    <w:rsid w:val="1EA64594"/>
    <w:rsid w:val="1EBE1E9F"/>
    <w:rsid w:val="1EC4657F"/>
    <w:rsid w:val="1ECF5DEB"/>
    <w:rsid w:val="1EEB170A"/>
    <w:rsid w:val="1F012105"/>
    <w:rsid w:val="1F1B0BA7"/>
    <w:rsid w:val="1F251A4B"/>
    <w:rsid w:val="1F2B23E7"/>
    <w:rsid w:val="1F4F7A68"/>
    <w:rsid w:val="1F522602"/>
    <w:rsid w:val="1F5E1869"/>
    <w:rsid w:val="1F717F97"/>
    <w:rsid w:val="1F86351A"/>
    <w:rsid w:val="1F8E04AE"/>
    <w:rsid w:val="1FB723A5"/>
    <w:rsid w:val="1FCB4B52"/>
    <w:rsid w:val="1FD54168"/>
    <w:rsid w:val="1FD56D5C"/>
    <w:rsid w:val="1FFC08D8"/>
    <w:rsid w:val="1FFF7242"/>
    <w:rsid w:val="200E31B0"/>
    <w:rsid w:val="201B2E55"/>
    <w:rsid w:val="20602EEC"/>
    <w:rsid w:val="20603EC2"/>
    <w:rsid w:val="206655C8"/>
    <w:rsid w:val="207626A7"/>
    <w:rsid w:val="20816368"/>
    <w:rsid w:val="2089187F"/>
    <w:rsid w:val="208E4881"/>
    <w:rsid w:val="20AE3B48"/>
    <w:rsid w:val="20B91A04"/>
    <w:rsid w:val="20DF2198"/>
    <w:rsid w:val="20E979EB"/>
    <w:rsid w:val="21060759"/>
    <w:rsid w:val="21161904"/>
    <w:rsid w:val="2123395B"/>
    <w:rsid w:val="21394B50"/>
    <w:rsid w:val="21451E24"/>
    <w:rsid w:val="21590621"/>
    <w:rsid w:val="217563C0"/>
    <w:rsid w:val="21833A9A"/>
    <w:rsid w:val="21934171"/>
    <w:rsid w:val="21A068BA"/>
    <w:rsid w:val="21EE03B0"/>
    <w:rsid w:val="22002D26"/>
    <w:rsid w:val="22177304"/>
    <w:rsid w:val="22445203"/>
    <w:rsid w:val="224526E1"/>
    <w:rsid w:val="225665BC"/>
    <w:rsid w:val="2263112E"/>
    <w:rsid w:val="22762926"/>
    <w:rsid w:val="228220EF"/>
    <w:rsid w:val="228E6E70"/>
    <w:rsid w:val="229471F0"/>
    <w:rsid w:val="22B1214B"/>
    <w:rsid w:val="22B42078"/>
    <w:rsid w:val="22CE39DA"/>
    <w:rsid w:val="22D32AC2"/>
    <w:rsid w:val="22DC07A0"/>
    <w:rsid w:val="2315665B"/>
    <w:rsid w:val="2317178F"/>
    <w:rsid w:val="23300BEF"/>
    <w:rsid w:val="235C28CA"/>
    <w:rsid w:val="236E5133"/>
    <w:rsid w:val="237862E8"/>
    <w:rsid w:val="239862AF"/>
    <w:rsid w:val="239D0753"/>
    <w:rsid w:val="239F02EE"/>
    <w:rsid w:val="23AC7743"/>
    <w:rsid w:val="23BC1B97"/>
    <w:rsid w:val="23C70B20"/>
    <w:rsid w:val="23E56E24"/>
    <w:rsid w:val="23E6461A"/>
    <w:rsid w:val="23EE5B94"/>
    <w:rsid w:val="23F21D75"/>
    <w:rsid w:val="23F344E2"/>
    <w:rsid w:val="24063478"/>
    <w:rsid w:val="2413791C"/>
    <w:rsid w:val="241F260D"/>
    <w:rsid w:val="242266CB"/>
    <w:rsid w:val="24524BD3"/>
    <w:rsid w:val="24664F0C"/>
    <w:rsid w:val="24896E6D"/>
    <w:rsid w:val="24906FF2"/>
    <w:rsid w:val="249E6D95"/>
    <w:rsid w:val="24BA68AD"/>
    <w:rsid w:val="24BB39ED"/>
    <w:rsid w:val="24C963B3"/>
    <w:rsid w:val="24DB3330"/>
    <w:rsid w:val="24E060BD"/>
    <w:rsid w:val="24FD4F1D"/>
    <w:rsid w:val="24FF35B3"/>
    <w:rsid w:val="250255F5"/>
    <w:rsid w:val="250E299E"/>
    <w:rsid w:val="25104748"/>
    <w:rsid w:val="25336383"/>
    <w:rsid w:val="253533AF"/>
    <w:rsid w:val="25356BF3"/>
    <w:rsid w:val="255E7B7D"/>
    <w:rsid w:val="25C06BE2"/>
    <w:rsid w:val="25C32DD2"/>
    <w:rsid w:val="25CC2BB2"/>
    <w:rsid w:val="25D34803"/>
    <w:rsid w:val="25DC455C"/>
    <w:rsid w:val="25E05B14"/>
    <w:rsid w:val="25EB0034"/>
    <w:rsid w:val="25F0362C"/>
    <w:rsid w:val="25F52C9C"/>
    <w:rsid w:val="25FE705C"/>
    <w:rsid w:val="261A69FD"/>
    <w:rsid w:val="26205003"/>
    <w:rsid w:val="26223781"/>
    <w:rsid w:val="26393C8A"/>
    <w:rsid w:val="264B52E2"/>
    <w:rsid w:val="268056F9"/>
    <w:rsid w:val="2682157B"/>
    <w:rsid w:val="26875ECE"/>
    <w:rsid w:val="2698757C"/>
    <w:rsid w:val="269B1599"/>
    <w:rsid w:val="26A20677"/>
    <w:rsid w:val="26B03BAC"/>
    <w:rsid w:val="26BF0F12"/>
    <w:rsid w:val="26BF3096"/>
    <w:rsid w:val="26C53C8C"/>
    <w:rsid w:val="26D64950"/>
    <w:rsid w:val="26EA3908"/>
    <w:rsid w:val="26F85398"/>
    <w:rsid w:val="26FF253E"/>
    <w:rsid w:val="2700612A"/>
    <w:rsid w:val="2705005D"/>
    <w:rsid w:val="2739082F"/>
    <w:rsid w:val="273A723F"/>
    <w:rsid w:val="275C73EE"/>
    <w:rsid w:val="276D6995"/>
    <w:rsid w:val="277A08FF"/>
    <w:rsid w:val="27830FF5"/>
    <w:rsid w:val="27897961"/>
    <w:rsid w:val="27DB3280"/>
    <w:rsid w:val="27EC0EF3"/>
    <w:rsid w:val="280D3549"/>
    <w:rsid w:val="280F7BD0"/>
    <w:rsid w:val="28300E6E"/>
    <w:rsid w:val="28384107"/>
    <w:rsid w:val="283E030C"/>
    <w:rsid w:val="28455080"/>
    <w:rsid w:val="2846637A"/>
    <w:rsid w:val="28477DA6"/>
    <w:rsid w:val="2859442F"/>
    <w:rsid w:val="28670F39"/>
    <w:rsid w:val="286D669A"/>
    <w:rsid w:val="28732FCF"/>
    <w:rsid w:val="289C111C"/>
    <w:rsid w:val="289E5CC3"/>
    <w:rsid w:val="28B555F8"/>
    <w:rsid w:val="28B57DAF"/>
    <w:rsid w:val="28C92A5A"/>
    <w:rsid w:val="28D83474"/>
    <w:rsid w:val="28EC564B"/>
    <w:rsid w:val="28F36584"/>
    <w:rsid w:val="2901302C"/>
    <w:rsid w:val="291C4360"/>
    <w:rsid w:val="291D7071"/>
    <w:rsid w:val="29387C86"/>
    <w:rsid w:val="294F03AC"/>
    <w:rsid w:val="294F2E99"/>
    <w:rsid w:val="296F000C"/>
    <w:rsid w:val="296F7946"/>
    <w:rsid w:val="299D37F3"/>
    <w:rsid w:val="29A17675"/>
    <w:rsid w:val="29B37D67"/>
    <w:rsid w:val="29B943C8"/>
    <w:rsid w:val="29B95BAF"/>
    <w:rsid w:val="29DB0BAD"/>
    <w:rsid w:val="29DE6B49"/>
    <w:rsid w:val="29F744D3"/>
    <w:rsid w:val="2A094DE7"/>
    <w:rsid w:val="2A28200B"/>
    <w:rsid w:val="2A3909A4"/>
    <w:rsid w:val="2A3C2FC4"/>
    <w:rsid w:val="2A684B32"/>
    <w:rsid w:val="2A7D4EE0"/>
    <w:rsid w:val="2A8310EC"/>
    <w:rsid w:val="2A973422"/>
    <w:rsid w:val="2AC722E2"/>
    <w:rsid w:val="2AC73883"/>
    <w:rsid w:val="2AEC61EF"/>
    <w:rsid w:val="2AED144A"/>
    <w:rsid w:val="2AF955E1"/>
    <w:rsid w:val="2B2F22A9"/>
    <w:rsid w:val="2B4D0269"/>
    <w:rsid w:val="2B6F1471"/>
    <w:rsid w:val="2B7760D7"/>
    <w:rsid w:val="2B992E22"/>
    <w:rsid w:val="2BA018F2"/>
    <w:rsid w:val="2BA54BFE"/>
    <w:rsid w:val="2BD661C5"/>
    <w:rsid w:val="2BDB4C95"/>
    <w:rsid w:val="2BF36114"/>
    <w:rsid w:val="2C1543F5"/>
    <w:rsid w:val="2C183EBB"/>
    <w:rsid w:val="2C265555"/>
    <w:rsid w:val="2C42313B"/>
    <w:rsid w:val="2C631482"/>
    <w:rsid w:val="2C721025"/>
    <w:rsid w:val="2C942D70"/>
    <w:rsid w:val="2C9D3368"/>
    <w:rsid w:val="2CAC6E8E"/>
    <w:rsid w:val="2CAE6BC8"/>
    <w:rsid w:val="2CBF4E3F"/>
    <w:rsid w:val="2CC92607"/>
    <w:rsid w:val="2CCE1EC8"/>
    <w:rsid w:val="2CDF4A4D"/>
    <w:rsid w:val="2D137E13"/>
    <w:rsid w:val="2D2F6378"/>
    <w:rsid w:val="2D3D74FA"/>
    <w:rsid w:val="2D4969CF"/>
    <w:rsid w:val="2D5538C4"/>
    <w:rsid w:val="2D5C40B8"/>
    <w:rsid w:val="2D773B82"/>
    <w:rsid w:val="2DBA38A4"/>
    <w:rsid w:val="2E3B7585"/>
    <w:rsid w:val="2E5069AD"/>
    <w:rsid w:val="2E6835C9"/>
    <w:rsid w:val="2E7E658D"/>
    <w:rsid w:val="2E9F6200"/>
    <w:rsid w:val="2EB2348A"/>
    <w:rsid w:val="2EBE7E92"/>
    <w:rsid w:val="2EC96D0C"/>
    <w:rsid w:val="2EDA3449"/>
    <w:rsid w:val="2EDE44F9"/>
    <w:rsid w:val="2EDF0DB9"/>
    <w:rsid w:val="2EE074AB"/>
    <w:rsid w:val="2EF92262"/>
    <w:rsid w:val="2F1B545A"/>
    <w:rsid w:val="2F1F1A1E"/>
    <w:rsid w:val="2F306153"/>
    <w:rsid w:val="2F3C1198"/>
    <w:rsid w:val="2F4066C3"/>
    <w:rsid w:val="2F4E14B0"/>
    <w:rsid w:val="2F6172F9"/>
    <w:rsid w:val="2F662B61"/>
    <w:rsid w:val="2F7114FF"/>
    <w:rsid w:val="2F8516E9"/>
    <w:rsid w:val="2F925C95"/>
    <w:rsid w:val="2FDB4BD7"/>
    <w:rsid w:val="2FED733F"/>
    <w:rsid w:val="2FFB5274"/>
    <w:rsid w:val="2FFE4670"/>
    <w:rsid w:val="30084EA2"/>
    <w:rsid w:val="300A0675"/>
    <w:rsid w:val="3012059D"/>
    <w:rsid w:val="3039578C"/>
    <w:rsid w:val="30443996"/>
    <w:rsid w:val="304E735A"/>
    <w:rsid w:val="306A7F8D"/>
    <w:rsid w:val="30A03424"/>
    <w:rsid w:val="30C03D15"/>
    <w:rsid w:val="30CE3704"/>
    <w:rsid w:val="30D1414C"/>
    <w:rsid w:val="31205652"/>
    <w:rsid w:val="313626D2"/>
    <w:rsid w:val="31407DFE"/>
    <w:rsid w:val="31435CDE"/>
    <w:rsid w:val="314A6CB6"/>
    <w:rsid w:val="31604CFE"/>
    <w:rsid w:val="3165457B"/>
    <w:rsid w:val="31862D92"/>
    <w:rsid w:val="319B3299"/>
    <w:rsid w:val="31A84C42"/>
    <w:rsid w:val="31A84C81"/>
    <w:rsid w:val="31B81ECF"/>
    <w:rsid w:val="31C87D6D"/>
    <w:rsid w:val="31D33CDB"/>
    <w:rsid w:val="3208406A"/>
    <w:rsid w:val="320D0CC4"/>
    <w:rsid w:val="3234419D"/>
    <w:rsid w:val="323B5D1D"/>
    <w:rsid w:val="324413FD"/>
    <w:rsid w:val="324F268E"/>
    <w:rsid w:val="32572797"/>
    <w:rsid w:val="32676D41"/>
    <w:rsid w:val="32697103"/>
    <w:rsid w:val="327177AD"/>
    <w:rsid w:val="32721467"/>
    <w:rsid w:val="32910150"/>
    <w:rsid w:val="329705B7"/>
    <w:rsid w:val="32A443EA"/>
    <w:rsid w:val="32A449CC"/>
    <w:rsid w:val="32A64054"/>
    <w:rsid w:val="32A870C9"/>
    <w:rsid w:val="32AD23D7"/>
    <w:rsid w:val="32BD37F5"/>
    <w:rsid w:val="32C544BA"/>
    <w:rsid w:val="32D618A1"/>
    <w:rsid w:val="32DA76EB"/>
    <w:rsid w:val="32FD588B"/>
    <w:rsid w:val="32FE224F"/>
    <w:rsid w:val="3316371C"/>
    <w:rsid w:val="332A21C8"/>
    <w:rsid w:val="332B61A4"/>
    <w:rsid w:val="33312A88"/>
    <w:rsid w:val="333A0719"/>
    <w:rsid w:val="336433B3"/>
    <w:rsid w:val="339E4C84"/>
    <w:rsid w:val="33B12578"/>
    <w:rsid w:val="33BB5DFB"/>
    <w:rsid w:val="33E825DF"/>
    <w:rsid w:val="33EA3882"/>
    <w:rsid w:val="340D5B8A"/>
    <w:rsid w:val="341361FC"/>
    <w:rsid w:val="341A7A1C"/>
    <w:rsid w:val="3439270F"/>
    <w:rsid w:val="34487794"/>
    <w:rsid w:val="345875B7"/>
    <w:rsid w:val="345E6F9D"/>
    <w:rsid w:val="348204B5"/>
    <w:rsid w:val="34A020FB"/>
    <w:rsid w:val="34A90D9F"/>
    <w:rsid w:val="34C2305B"/>
    <w:rsid w:val="34D96268"/>
    <w:rsid w:val="34DB0F78"/>
    <w:rsid w:val="350B493E"/>
    <w:rsid w:val="351B1B6F"/>
    <w:rsid w:val="35296F5C"/>
    <w:rsid w:val="35340688"/>
    <w:rsid w:val="353720C7"/>
    <w:rsid w:val="353F2062"/>
    <w:rsid w:val="354A29CF"/>
    <w:rsid w:val="354E7CE1"/>
    <w:rsid w:val="35786E44"/>
    <w:rsid w:val="35907ADB"/>
    <w:rsid w:val="35A13E6D"/>
    <w:rsid w:val="35AD5ACE"/>
    <w:rsid w:val="35AE5EFE"/>
    <w:rsid w:val="35AF16C3"/>
    <w:rsid w:val="35B90CA1"/>
    <w:rsid w:val="35FF03A9"/>
    <w:rsid w:val="360161CE"/>
    <w:rsid w:val="36016352"/>
    <w:rsid w:val="36181EB1"/>
    <w:rsid w:val="363F0DD5"/>
    <w:rsid w:val="364814D2"/>
    <w:rsid w:val="364F3396"/>
    <w:rsid w:val="36527158"/>
    <w:rsid w:val="36574D53"/>
    <w:rsid w:val="366E0353"/>
    <w:rsid w:val="36701008"/>
    <w:rsid w:val="3678479E"/>
    <w:rsid w:val="36832688"/>
    <w:rsid w:val="36B21185"/>
    <w:rsid w:val="36B46C97"/>
    <w:rsid w:val="36C119D7"/>
    <w:rsid w:val="36DE79BA"/>
    <w:rsid w:val="36E62918"/>
    <w:rsid w:val="36F67AFD"/>
    <w:rsid w:val="37181BC6"/>
    <w:rsid w:val="371C519A"/>
    <w:rsid w:val="37382A26"/>
    <w:rsid w:val="373E4B41"/>
    <w:rsid w:val="378203D6"/>
    <w:rsid w:val="379415DB"/>
    <w:rsid w:val="37946B0E"/>
    <w:rsid w:val="379A4A59"/>
    <w:rsid w:val="379E4875"/>
    <w:rsid w:val="37A005F3"/>
    <w:rsid w:val="37A31EFD"/>
    <w:rsid w:val="37B17C90"/>
    <w:rsid w:val="37C0236B"/>
    <w:rsid w:val="37DE550A"/>
    <w:rsid w:val="37ED0321"/>
    <w:rsid w:val="37F07559"/>
    <w:rsid w:val="38007362"/>
    <w:rsid w:val="381E6049"/>
    <w:rsid w:val="382B765F"/>
    <w:rsid w:val="384E4359"/>
    <w:rsid w:val="385362FC"/>
    <w:rsid w:val="38660119"/>
    <w:rsid w:val="38706F1D"/>
    <w:rsid w:val="38DA3FB9"/>
    <w:rsid w:val="38DA6138"/>
    <w:rsid w:val="38E863F8"/>
    <w:rsid w:val="39002AB2"/>
    <w:rsid w:val="39144450"/>
    <w:rsid w:val="39531F6F"/>
    <w:rsid w:val="39655E46"/>
    <w:rsid w:val="397320A5"/>
    <w:rsid w:val="39782E1D"/>
    <w:rsid w:val="39B44ADD"/>
    <w:rsid w:val="39C04A92"/>
    <w:rsid w:val="39E65DE1"/>
    <w:rsid w:val="39ED15AE"/>
    <w:rsid w:val="39F12F71"/>
    <w:rsid w:val="39F205C2"/>
    <w:rsid w:val="39FF315F"/>
    <w:rsid w:val="3A0078A6"/>
    <w:rsid w:val="3A0F629A"/>
    <w:rsid w:val="3A19651D"/>
    <w:rsid w:val="3A3078D7"/>
    <w:rsid w:val="3A46455D"/>
    <w:rsid w:val="3A591C3F"/>
    <w:rsid w:val="3A631B45"/>
    <w:rsid w:val="3A6F4F14"/>
    <w:rsid w:val="3A746F26"/>
    <w:rsid w:val="3A882C7B"/>
    <w:rsid w:val="3A9622C5"/>
    <w:rsid w:val="3AA44AC7"/>
    <w:rsid w:val="3AB530CF"/>
    <w:rsid w:val="3ACE30C6"/>
    <w:rsid w:val="3ADE7D37"/>
    <w:rsid w:val="3AEA0A5D"/>
    <w:rsid w:val="3AF11626"/>
    <w:rsid w:val="3B073D69"/>
    <w:rsid w:val="3B076786"/>
    <w:rsid w:val="3B154481"/>
    <w:rsid w:val="3B194E25"/>
    <w:rsid w:val="3B530534"/>
    <w:rsid w:val="3B591797"/>
    <w:rsid w:val="3B64574F"/>
    <w:rsid w:val="3B886D15"/>
    <w:rsid w:val="3B955869"/>
    <w:rsid w:val="3BCC57F7"/>
    <w:rsid w:val="3BD54936"/>
    <w:rsid w:val="3BE21713"/>
    <w:rsid w:val="3BF73D20"/>
    <w:rsid w:val="3C061FF3"/>
    <w:rsid w:val="3C170250"/>
    <w:rsid w:val="3C1E7A16"/>
    <w:rsid w:val="3C4A5D2F"/>
    <w:rsid w:val="3C527F41"/>
    <w:rsid w:val="3C546637"/>
    <w:rsid w:val="3CE90619"/>
    <w:rsid w:val="3CFC3FB9"/>
    <w:rsid w:val="3CFC63B3"/>
    <w:rsid w:val="3D090D0F"/>
    <w:rsid w:val="3D0977E3"/>
    <w:rsid w:val="3D130FCB"/>
    <w:rsid w:val="3D21486B"/>
    <w:rsid w:val="3D26593D"/>
    <w:rsid w:val="3D2F5539"/>
    <w:rsid w:val="3D3242FD"/>
    <w:rsid w:val="3D4129FD"/>
    <w:rsid w:val="3D4A16CE"/>
    <w:rsid w:val="3D5A68D0"/>
    <w:rsid w:val="3D62519B"/>
    <w:rsid w:val="3D6D6693"/>
    <w:rsid w:val="3D6F2C78"/>
    <w:rsid w:val="3D803F1C"/>
    <w:rsid w:val="3D9377B5"/>
    <w:rsid w:val="3D957090"/>
    <w:rsid w:val="3DA00FAD"/>
    <w:rsid w:val="3DB21104"/>
    <w:rsid w:val="3DB464EC"/>
    <w:rsid w:val="3DBA2A3C"/>
    <w:rsid w:val="3DCC3242"/>
    <w:rsid w:val="3DCF18CA"/>
    <w:rsid w:val="3DE444D4"/>
    <w:rsid w:val="3DEC5392"/>
    <w:rsid w:val="3DFC1F6D"/>
    <w:rsid w:val="3E0213C9"/>
    <w:rsid w:val="3E0E14D4"/>
    <w:rsid w:val="3E105113"/>
    <w:rsid w:val="3E232CC6"/>
    <w:rsid w:val="3E3647F7"/>
    <w:rsid w:val="3E68264F"/>
    <w:rsid w:val="3E6A1467"/>
    <w:rsid w:val="3E7878FB"/>
    <w:rsid w:val="3E8F29F4"/>
    <w:rsid w:val="3EB47530"/>
    <w:rsid w:val="3EB74932"/>
    <w:rsid w:val="3ED54BD0"/>
    <w:rsid w:val="3EE126D8"/>
    <w:rsid w:val="3EF136EF"/>
    <w:rsid w:val="3F187A52"/>
    <w:rsid w:val="3F3671A0"/>
    <w:rsid w:val="3F3C2799"/>
    <w:rsid w:val="3F566115"/>
    <w:rsid w:val="3F596FDB"/>
    <w:rsid w:val="3F882F2A"/>
    <w:rsid w:val="3FA7380C"/>
    <w:rsid w:val="3FC37F5F"/>
    <w:rsid w:val="3FE11ED2"/>
    <w:rsid w:val="3FE73682"/>
    <w:rsid w:val="40200CA7"/>
    <w:rsid w:val="4026661A"/>
    <w:rsid w:val="402A05AB"/>
    <w:rsid w:val="40305347"/>
    <w:rsid w:val="40355766"/>
    <w:rsid w:val="403C0C13"/>
    <w:rsid w:val="403D0165"/>
    <w:rsid w:val="40421F29"/>
    <w:rsid w:val="405D5CFE"/>
    <w:rsid w:val="40602E30"/>
    <w:rsid w:val="40912701"/>
    <w:rsid w:val="40A15508"/>
    <w:rsid w:val="40A561AE"/>
    <w:rsid w:val="40A86BF9"/>
    <w:rsid w:val="40C520E9"/>
    <w:rsid w:val="40D743AA"/>
    <w:rsid w:val="40E478AF"/>
    <w:rsid w:val="40EE27D2"/>
    <w:rsid w:val="40F26C93"/>
    <w:rsid w:val="410B65A9"/>
    <w:rsid w:val="41113CD1"/>
    <w:rsid w:val="411E7BB9"/>
    <w:rsid w:val="413F5492"/>
    <w:rsid w:val="415B3CA6"/>
    <w:rsid w:val="417B1AC1"/>
    <w:rsid w:val="41860471"/>
    <w:rsid w:val="41886BD3"/>
    <w:rsid w:val="41971DE0"/>
    <w:rsid w:val="41D22827"/>
    <w:rsid w:val="41DA40A7"/>
    <w:rsid w:val="41E5688C"/>
    <w:rsid w:val="42066589"/>
    <w:rsid w:val="420D7802"/>
    <w:rsid w:val="421B3EDF"/>
    <w:rsid w:val="4236450F"/>
    <w:rsid w:val="42380679"/>
    <w:rsid w:val="42383283"/>
    <w:rsid w:val="42422ADD"/>
    <w:rsid w:val="424264BD"/>
    <w:rsid w:val="425B1199"/>
    <w:rsid w:val="427D56C7"/>
    <w:rsid w:val="4287022A"/>
    <w:rsid w:val="42CF62BF"/>
    <w:rsid w:val="42DF6B1D"/>
    <w:rsid w:val="430A5423"/>
    <w:rsid w:val="431A13F8"/>
    <w:rsid w:val="4320224A"/>
    <w:rsid w:val="43716A93"/>
    <w:rsid w:val="43D44338"/>
    <w:rsid w:val="43E05890"/>
    <w:rsid w:val="43E15B48"/>
    <w:rsid w:val="43F50C56"/>
    <w:rsid w:val="43FD1E87"/>
    <w:rsid w:val="44013AF8"/>
    <w:rsid w:val="44392E65"/>
    <w:rsid w:val="444F3CF8"/>
    <w:rsid w:val="44571A2E"/>
    <w:rsid w:val="446060FE"/>
    <w:rsid w:val="44814766"/>
    <w:rsid w:val="4493314D"/>
    <w:rsid w:val="44B23080"/>
    <w:rsid w:val="44C008B3"/>
    <w:rsid w:val="44CC6046"/>
    <w:rsid w:val="44CE52C9"/>
    <w:rsid w:val="450043FA"/>
    <w:rsid w:val="450B0AEB"/>
    <w:rsid w:val="450E0CBC"/>
    <w:rsid w:val="45124794"/>
    <w:rsid w:val="4513261E"/>
    <w:rsid w:val="45351448"/>
    <w:rsid w:val="453A02B6"/>
    <w:rsid w:val="453B39CB"/>
    <w:rsid w:val="45407B9D"/>
    <w:rsid w:val="45421B5E"/>
    <w:rsid w:val="45487B25"/>
    <w:rsid w:val="454974E9"/>
    <w:rsid w:val="454E0188"/>
    <w:rsid w:val="455B6B33"/>
    <w:rsid w:val="45632870"/>
    <w:rsid w:val="4574157A"/>
    <w:rsid w:val="45784EDE"/>
    <w:rsid w:val="457C504E"/>
    <w:rsid w:val="45A247E0"/>
    <w:rsid w:val="45CE4895"/>
    <w:rsid w:val="45D65034"/>
    <w:rsid w:val="45EE13F0"/>
    <w:rsid w:val="4611330B"/>
    <w:rsid w:val="46145A1B"/>
    <w:rsid w:val="462B0A4F"/>
    <w:rsid w:val="46336A6C"/>
    <w:rsid w:val="46361876"/>
    <w:rsid w:val="46512118"/>
    <w:rsid w:val="46592199"/>
    <w:rsid w:val="465B1E3B"/>
    <w:rsid w:val="46923CDA"/>
    <w:rsid w:val="46953B24"/>
    <w:rsid w:val="46997C2E"/>
    <w:rsid w:val="46B96EA4"/>
    <w:rsid w:val="46BE76FE"/>
    <w:rsid w:val="46EC2F38"/>
    <w:rsid w:val="470703F0"/>
    <w:rsid w:val="47100C02"/>
    <w:rsid w:val="47404170"/>
    <w:rsid w:val="475237F7"/>
    <w:rsid w:val="4757642C"/>
    <w:rsid w:val="47697BC7"/>
    <w:rsid w:val="476D0842"/>
    <w:rsid w:val="4787482C"/>
    <w:rsid w:val="478D7860"/>
    <w:rsid w:val="479B6509"/>
    <w:rsid w:val="47C10661"/>
    <w:rsid w:val="47E021E0"/>
    <w:rsid w:val="47EB6E22"/>
    <w:rsid w:val="47F22FC0"/>
    <w:rsid w:val="47F4271B"/>
    <w:rsid w:val="47F74B28"/>
    <w:rsid w:val="481168F3"/>
    <w:rsid w:val="482914F0"/>
    <w:rsid w:val="4829489C"/>
    <w:rsid w:val="48300A4F"/>
    <w:rsid w:val="483E2C73"/>
    <w:rsid w:val="484D1ECD"/>
    <w:rsid w:val="48587666"/>
    <w:rsid w:val="488E03F6"/>
    <w:rsid w:val="48A14227"/>
    <w:rsid w:val="48A42976"/>
    <w:rsid w:val="48B64A76"/>
    <w:rsid w:val="48C9748C"/>
    <w:rsid w:val="48E15C12"/>
    <w:rsid w:val="48FA0199"/>
    <w:rsid w:val="48FE5025"/>
    <w:rsid w:val="490D4FB2"/>
    <w:rsid w:val="49354FAE"/>
    <w:rsid w:val="493705D1"/>
    <w:rsid w:val="495A7E14"/>
    <w:rsid w:val="49621C88"/>
    <w:rsid w:val="4995685E"/>
    <w:rsid w:val="49A9510F"/>
    <w:rsid w:val="49B6724F"/>
    <w:rsid w:val="49BC69E5"/>
    <w:rsid w:val="49BD5791"/>
    <w:rsid w:val="49E267F5"/>
    <w:rsid w:val="49E867F5"/>
    <w:rsid w:val="49ED437F"/>
    <w:rsid w:val="49F95852"/>
    <w:rsid w:val="4A090056"/>
    <w:rsid w:val="4A275B2D"/>
    <w:rsid w:val="4A276239"/>
    <w:rsid w:val="4A3464A4"/>
    <w:rsid w:val="4A40129C"/>
    <w:rsid w:val="4A4C35B7"/>
    <w:rsid w:val="4A4D07B4"/>
    <w:rsid w:val="4A4D4729"/>
    <w:rsid w:val="4A8D2E4E"/>
    <w:rsid w:val="4A8F3699"/>
    <w:rsid w:val="4A942735"/>
    <w:rsid w:val="4AA06750"/>
    <w:rsid w:val="4AA71589"/>
    <w:rsid w:val="4AAA3959"/>
    <w:rsid w:val="4AB024A2"/>
    <w:rsid w:val="4AB84B16"/>
    <w:rsid w:val="4ABB2F0C"/>
    <w:rsid w:val="4ABD4EA9"/>
    <w:rsid w:val="4AC0100C"/>
    <w:rsid w:val="4AC303B9"/>
    <w:rsid w:val="4ACC3E51"/>
    <w:rsid w:val="4ACC6AFB"/>
    <w:rsid w:val="4AD17A41"/>
    <w:rsid w:val="4AF577D7"/>
    <w:rsid w:val="4AFF0F33"/>
    <w:rsid w:val="4B113700"/>
    <w:rsid w:val="4B1165BE"/>
    <w:rsid w:val="4B2C3E4A"/>
    <w:rsid w:val="4B3C7446"/>
    <w:rsid w:val="4B4D4F08"/>
    <w:rsid w:val="4B531E10"/>
    <w:rsid w:val="4B5C6AFA"/>
    <w:rsid w:val="4B602DB2"/>
    <w:rsid w:val="4B652726"/>
    <w:rsid w:val="4B6E01BA"/>
    <w:rsid w:val="4B880B2A"/>
    <w:rsid w:val="4B9E10AF"/>
    <w:rsid w:val="4B9E2989"/>
    <w:rsid w:val="4BA72793"/>
    <w:rsid w:val="4BAC1065"/>
    <w:rsid w:val="4BC04781"/>
    <w:rsid w:val="4BE422C7"/>
    <w:rsid w:val="4BE8503A"/>
    <w:rsid w:val="4C026DEC"/>
    <w:rsid w:val="4C126AAA"/>
    <w:rsid w:val="4C167A68"/>
    <w:rsid w:val="4C386787"/>
    <w:rsid w:val="4C3C13AE"/>
    <w:rsid w:val="4C487CF4"/>
    <w:rsid w:val="4C4B649A"/>
    <w:rsid w:val="4C5E201F"/>
    <w:rsid w:val="4C5F1BC2"/>
    <w:rsid w:val="4C6843E5"/>
    <w:rsid w:val="4CAC4F15"/>
    <w:rsid w:val="4CB474C6"/>
    <w:rsid w:val="4CCE5932"/>
    <w:rsid w:val="4CDC7954"/>
    <w:rsid w:val="4CE44E84"/>
    <w:rsid w:val="4D0F433A"/>
    <w:rsid w:val="4D254A0B"/>
    <w:rsid w:val="4D2B2BBB"/>
    <w:rsid w:val="4D2D5855"/>
    <w:rsid w:val="4D310A82"/>
    <w:rsid w:val="4D3E3033"/>
    <w:rsid w:val="4D3F32D4"/>
    <w:rsid w:val="4D42192A"/>
    <w:rsid w:val="4D4F0A32"/>
    <w:rsid w:val="4D6E141C"/>
    <w:rsid w:val="4D7A2B8D"/>
    <w:rsid w:val="4D7F16B9"/>
    <w:rsid w:val="4D951E23"/>
    <w:rsid w:val="4DA4640F"/>
    <w:rsid w:val="4DBC46B5"/>
    <w:rsid w:val="4DD527AB"/>
    <w:rsid w:val="4DDF7A8E"/>
    <w:rsid w:val="4DF558BF"/>
    <w:rsid w:val="4E0372EA"/>
    <w:rsid w:val="4E1315AE"/>
    <w:rsid w:val="4E323094"/>
    <w:rsid w:val="4E384FCD"/>
    <w:rsid w:val="4E3D757F"/>
    <w:rsid w:val="4E5A2D1F"/>
    <w:rsid w:val="4E622142"/>
    <w:rsid w:val="4E8A5CB6"/>
    <w:rsid w:val="4E8E5B1C"/>
    <w:rsid w:val="4E907FBF"/>
    <w:rsid w:val="4E973F27"/>
    <w:rsid w:val="4E99758E"/>
    <w:rsid w:val="4EA20B94"/>
    <w:rsid w:val="4EDC378B"/>
    <w:rsid w:val="4EE364A3"/>
    <w:rsid w:val="4EF73D5F"/>
    <w:rsid w:val="4EFB5D81"/>
    <w:rsid w:val="4F1363E0"/>
    <w:rsid w:val="4F181572"/>
    <w:rsid w:val="4F1D3FE1"/>
    <w:rsid w:val="4F380209"/>
    <w:rsid w:val="4F412994"/>
    <w:rsid w:val="4F4C25DE"/>
    <w:rsid w:val="4F586600"/>
    <w:rsid w:val="4F5B0765"/>
    <w:rsid w:val="4F6776FD"/>
    <w:rsid w:val="4F742E9C"/>
    <w:rsid w:val="4FA16203"/>
    <w:rsid w:val="4FE06235"/>
    <w:rsid w:val="4FF604E7"/>
    <w:rsid w:val="50100096"/>
    <w:rsid w:val="50131052"/>
    <w:rsid w:val="502C3729"/>
    <w:rsid w:val="50643879"/>
    <w:rsid w:val="506609A7"/>
    <w:rsid w:val="50B23CD4"/>
    <w:rsid w:val="50BD1A7E"/>
    <w:rsid w:val="50CA763C"/>
    <w:rsid w:val="50EF25C7"/>
    <w:rsid w:val="50F1105F"/>
    <w:rsid w:val="50F86BC7"/>
    <w:rsid w:val="512C0B1C"/>
    <w:rsid w:val="5132260C"/>
    <w:rsid w:val="513539A9"/>
    <w:rsid w:val="513B5992"/>
    <w:rsid w:val="51712231"/>
    <w:rsid w:val="517B6F24"/>
    <w:rsid w:val="51C429A1"/>
    <w:rsid w:val="51CA329B"/>
    <w:rsid w:val="51F77A78"/>
    <w:rsid w:val="51FF0049"/>
    <w:rsid w:val="52005493"/>
    <w:rsid w:val="520A344D"/>
    <w:rsid w:val="523B43B1"/>
    <w:rsid w:val="523F041C"/>
    <w:rsid w:val="52421464"/>
    <w:rsid w:val="525B5771"/>
    <w:rsid w:val="525D642F"/>
    <w:rsid w:val="525D777C"/>
    <w:rsid w:val="52891C7E"/>
    <w:rsid w:val="52927E9E"/>
    <w:rsid w:val="52A0079D"/>
    <w:rsid w:val="52AB7521"/>
    <w:rsid w:val="52BF4634"/>
    <w:rsid w:val="52CE35E1"/>
    <w:rsid w:val="52D7429B"/>
    <w:rsid w:val="52ED779E"/>
    <w:rsid w:val="530666B2"/>
    <w:rsid w:val="531C70C7"/>
    <w:rsid w:val="531D6086"/>
    <w:rsid w:val="531E402B"/>
    <w:rsid w:val="53371540"/>
    <w:rsid w:val="533C6E1C"/>
    <w:rsid w:val="534D500E"/>
    <w:rsid w:val="53590EB2"/>
    <w:rsid w:val="535C2720"/>
    <w:rsid w:val="53667D5D"/>
    <w:rsid w:val="536B5FE7"/>
    <w:rsid w:val="537E7C12"/>
    <w:rsid w:val="53871E2F"/>
    <w:rsid w:val="53B125EE"/>
    <w:rsid w:val="53ED42AE"/>
    <w:rsid w:val="53FE58B3"/>
    <w:rsid w:val="540A0E25"/>
    <w:rsid w:val="5416185E"/>
    <w:rsid w:val="54177CBD"/>
    <w:rsid w:val="54242870"/>
    <w:rsid w:val="5428652D"/>
    <w:rsid w:val="54463054"/>
    <w:rsid w:val="54761D45"/>
    <w:rsid w:val="548132D4"/>
    <w:rsid w:val="548849A9"/>
    <w:rsid w:val="54A146CD"/>
    <w:rsid w:val="54AC0B4C"/>
    <w:rsid w:val="54B4425A"/>
    <w:rsid w:val="54FC564E"/>
    <w:rsid w:val="551475AD"/>
    <w:rsid w:val="55171691"/>
    <w:rsid w:val="55190413"/>
    <w:rsid w:val="552C6628"/>
    <w:rsid w:val="55615A7B"/>
    <w:rsid w:val="55A07009"/>
    <w:rsid w:val="55A516C8"/>
    <w:rsid w:val="55F03A19"/>
    <w:rsid w:val="55F96354"/>
    <w:rsid w:val="55FF571A"/>
    <w:rsid w:val="561A0014"/>
    <w:rsid w:val="561C55AA"/>
    <w:rsid w:val="56357268"/>
    <w:rsid w:val="56395D37"/>
    <w:rsid w:val="563A370A"/>
    <w:rsid w:val="56404346"/>
    <w:rsid w:val="5660532C"/>
    <w:rsid w:val="566500F5"/>
    <w:rsid w:val="56866926"/>
    <w:rsid w:val="568E1959"/>
    <w:rsid w:val="56A804ED"/>
    <w:rsid w:val="56BB5EB6"/>
    <w:rsid w:val="56F028D4"/>
    <w:rsid w:val="56FF25AC"/>
    <w:rsid w:val="57017C3E"/>
    <w:rsid w:val="57053941"/>
    <w:rsid w:val="571E2943"/>
    <w:rsid w:val="57255760"/>
    <w:rsid w:val="57290B11"/>
    <w:rsid w:val="574A037E"/>
    <w:rsid w:val="57525B87"/>
    <w:rsid w:val="576919AB"/>
    <w:rsid w:val="576B1ADE"/>
    <w:rsid w:val="578F4E86"/>
    <w:rsid w:val="579161F9"/>
    <w:rsid w:val="57964236"/>
    <w:rsid w:val="57965DEE"/>
    <w:rsid w:val="57B56405"/>
    <w:rsid w:val="57D37181"/>
    <w:rsid w:val="57DA02E5"/>
    <w:rsid w:val="57DA13EE"/>
    <w:rsid w:val="57DC0158"/>
    <w:rsid w:val="57E10477"/>
    <w:rsid w:val="57F15694"/>
    <w:rsid w:val="5812395C"/>
    <w:rsid w:val="582E363B"/>
    <w:rsid w:val="584A2E1F"/>
    <w:rsid w:val="58503C3D"/>
    <w:rsid w:val="58506350"/>
    <w:rsid w:val="58515548"/>
    <w:rsid w:val="586B26E9"/>
    <w:rsid w:val="58756F81"/>
    <w:rsid w:val="58811E09"/>
    <w:rsid w:val="58856C60"/>
    <w:rsid w:val="589552C8"/>
    <w:rsid w:val="589A3C4E"/>
    <w:rsid w:val="58A27130"/>
    <w:rsid w:val="58C3673D"/>
    <w:rsid w:val="58CA265F"/>
    <w:rsid w:val="58D95754"/>
    <w:rsid w:val="58DE19DE"/>
    <w:rsid w:val="58E87B6F"/>
    <w:rsid w:val="58F742ED"/>
    <w:rsid w:val="59174846"/>
    <w:rsid w:val="59261D85"/>
    <w:rsid w:val="592F76FD"/>
    <w:rsid w:val="59414CE6"/>
    <w:rsid w:val="59564964"/>
    <w:rsid w:val="5958561B"/>
    <w:rsid w:val="5959126A"/>
    <w:rsid w:val="595B67BB"/>
    <w:rsid w:val="597244FC"/>
    <w:rsid w:val="59AE249D"/>
    <w:rsid w:val="59B27147"/>
    <w:rsid w:val="59B5114C"/>
    <w:rsid w:val="59DB29F1"/>
    <w:rsid w:val="59EE1712"/>
    <w:rsid w:val="59F42649"/>
    <w:rsid w:val="59F7749E"/>
    <w:rsid w:val="59FA3493"/>
    <w:rsid w:val="5A1E239D"/>
    <w:rsid w:val="5A245616"/>
    <w:rsid w:val="5A2B4519"/>
    <w:rsid w:val="5A411410"/>
    <w:rsid w:val="5A427DD2"/>
    <w:rsid w:val="5A487E08"/>
    <w:rsid w:val="5A7A2B53"/>
    <w:rsid w:val="5A835951"/>
    <w:rsid w:val="5A8939ED"/>
    <w:rsid w:val="5A984945"/>
    <w:rsid w:val="5AA16CF6"/>
    <w:rsid w:val="5AA428B7"/>
    <w:rsid w:val="5AA91271"/>
    <w:rsid w:val="5AB26B9A"/>
    <w:rsid w:val="5ABC63A5"/>
    <w:rsid w:val="5ABD0065"/>
    <w:rsid w:val="5ABF2392"/>
    <w:rsid w:val="5B1136C8"/>
    <w:rsid w:val="5B2B760B"/>
    <w:rsid w:val="5B301698"/>
    <w:rsid w:val="5B686E1A"/>
    <w:rsid w:val="5B750385"/>
    <w:rsid w:val="5B8F1400"/>
    <w:rsid w:val="5BA92745"/>
    <w:rsid w:val="5BB83272"/>
    <w:rsid w:val="5BCB14DF"/>
    <w:rsid w:val="5BDE7755"/>
    <w:rsid w:val="5BE91BDC"/>
    <w:rsid w:val="5C00454C"/>
    <w:rsid w:val="5C0E5D34"/>
    <w:rsid w:val="5C1A0986"/>
    <w:rsid w:val="5C677890"/>
    <w:rsid w:val="5C7801EC"/>
    <w:rsid w:val="5C7B1ECB"/>
    <w:rsid w:val="5C7B4055"/>
    <w:rsid w:val="5C7F06FC"/>
    <w:rsid w:val="5CA52FEE"/>
    <w:rsid w:val="5CD16BF4"/>
    <w:rsid w:val="5CD256CB"/>
    <w:rsid w:val="5CE46781"/>
    <w:rsid w:val="5CE96288"/>
    <w:rsid w:val="5CEB5D6B"/>
    <w:rsid w:val="5CF75F19"/>
    <w:rsid w:val="5CFE7892"/>
    <w:rsid w:val="5D12645A"/>
    <w:rsid w:val="5D3E733E"/>
    <w:rsid w:val="5D4C709A"/>
    <w:rsid w:val="5D571650"/>
    <w:rsid w:val="5D612458"/>
    <w:rsid w:val="5D800197"/>
    <w:rsid w:val="5D8A4D0B"/>
    <w:rsid w:val="5D9043DE"/>
    <w:rsid w:val="5D9D3C05"/>
    <w:rsid w:val="5DAB093D"/>
    <w:rsid w:val="5DB87EEE"/>
    <w:rsid w:val="5DCD3488"/>
    <w:rsid w:val="5DD0413F"/>
    <w:rsid w:val="5DD52C45"/>
    <w:rsid w:val="5DE84A54"/>
    <w:rsid w:val="5DED2DDF"/>
    <w:rsid w:val="5E017611"/>
    <w:rsid w:val="5E04170E"/>
    <w:rsid w:val="5E0B4351"/>
    <w:rsid w:val="5E0E23F0"/>
    <w:rsid w:val="5E275743"/>
    <w:rsid w:val="5E2C21A8"/>
    <w:rsid w:val="5E8B1BAF"/>
    <w:rsid w:val="5E91061B"/>
    <w:rsid w:val="5E9B04BF"/>
    <w:rsid w:val="5E9B67DF"/>
    <w:rsid w:val="5EA079AD"/>
    <w:rsid w:val="5EA55E4B"/>
    <w:rsid w:val="5EAE6D38"/>
    <w:rsid w:val="5EBD17A0"/>
    <w:rsid w:val="5EDD76D4"/>
    <w:rsid w:val="5EE844E2"/>
    <w:rsid w:val="5EE96FD6"/>
    <w:rsid w:val="5F1351FD"/>
    <w:rsid w:val="5F1E04B4"/>
    <w:rsid w:val="5F2B49EE"/>
    <w:rsid w:val="5F310409"/>
    <w:rsid w:val="5F333619"/>
    <w:rsid w:val="5F433DE2"/>
    <w:rsid w:val="5F466DAE"/>
    <w:rsid w:val="5F545A65"/>
    <w:rsid w:val="5F6B02B9"/>
    <w:rsid w:val="5F887A7D"/>
    <w:rsid w:val="5F8E263D"/>
    <w:rsid w:val="5F905DB7"/>
    <w:rsid w:val="5FA20484"/>
    <w:rsid w:val="5FAB116D"/>
    <w:rsid w:val="5FAF4663"/>
    <w:rsid w:val="5FC06CA6"/>
    <w:rsid w:val="5FCE6542"/>
    <w:rsid w:val="5FD53866"/>
    <w:rsid w:val="5FD86707"/>
    <w:rsid w:val="5FE9136C"/>
    <w:rsid w:val="5FF63FD6"/>
    <w:rsid w:val="5FF77E9F"/>
    <w:rsid w:val="60076C01"/>
    <w:rsid w:val="60301242"/>
    <w:rsid w:val="60322365"/>
    <w:rsid w:val="60323C0C"/>
    <w:rsid w:val="60921421"/>
    <w:rsid w:val="60D41546"/>
    <w:rsid w:val="60D946F9"/>
    <w:rsid w:val="60EE557F"/>
    <w:rsid w:val="60F951BD"/>
    <w:rsid w:val="60FF109A"/>
    <w:rsid w:val="61084208"/>
    <w:rsid w:val="611E3A2D"/>
    <w:rsid w:val="611F651E"/>
    <w:rsid w:val="6121257A"/>
    <w:rsid w:val="61334A17"/>
    <w:rsid w:val="61405359"/>
    <w:rsid w:val="61765A4F"/>
    <w:rsid w:val="61BD76B6"/>
    <w:rsid w:val="61CE4794"/>
    <w:rsid w:val="61DA53F6"/>
    <w:rsid w:val="61E87C6C"/>
    <w:rsid w:val="61E87ED5"/>
    <w:rsid w:val="61F57EA9"/>
    <w:rsid w:val="62034621"/>
    <w:rsid w:val="62157507"/>
    <w:rsid w:val="621B4E75"/>
    <w:rsid w:val="622104F8"/>
    <w:rsid w:val="622436C5"/>
    <w:rsid w:val="623D372F"/>
    <w:rsid w:val="62545BA0"/>
    <w:rsid w:val="62584EEE"/>
    <w:rsid w:val="625F794D"/>
    <w:rsid w:val="62670AFB"/>
    <w:rsid w:val="628A4B12"/>
    <w:rsid w:val="628F5C82"/>
    <w:rsid w:val="62AA1058"/>
    <w:rsid w:val="62CA557D"/>
    <w:rsid w:val="62F6704F"/>
    <w:rsid w:val="62FD443E"/>
    <w:rsid w:val="630244ED"/>
    <w:rsid w:val="63026A67"/>
    <w:rsid w:val="63052839"/>
    <w:rsid w:val="63171CE0"/>
    <w:rsid w:val="6319331E"/>
    <w:rsid w:val="631C2640"/>
    <w:rsid w:val="631D354A"/>
    <w:rsid w:val="63443037"/>
    <w:rsid w:val="635D2D3C"/>
    <w:rsid w:val="635F2611"/>
    <w:rsid w:val="636B3CA9"/>
    <w:rsid w:val="6376430A"/>
    <w:rsid w:val="63B75FEF"/>
    <w:rsid w:val="63CC00C3"/>
    <w:rsid w:val="63D25C11"/>
    <w:rsid w:val="63EB6CC8"/>
    <w:rsid w:val="63EE35C5"/>
    <w:rsid w:val="63FA6EB8"/>
    <w:rsid w:val="640017C3"/>
    <w:rsid w:val="644A17D5"/>
    <w:rsid w:val="645203DF"/>
    <w:rsid w:val="645A60AC"/>
    <w:rsid w:val="645F71FE"/>
    <w:rsid w:val="64631687"/>
    <w:rsid w:val="64976910"/>
    <w:rsid w:val="64A741E9"/>
    <w:rsid w:val="64AA4219"/>
    <w:rsid w:val="64AC109E"/>
    <w:rsid w:val="64B24B87"/>
    <w:rsid w:val="64B305AA"/>
    <w:rsid w:val="64BD1D33"/>
    <w:rsid w:val="64C63DAB"/>
    <w:rsid w:val="64EE6A6A"/>
    <w:rsid w:val="64F46348"/>
    <w:rsid w:val="651573F8"/>
    <w:rsid w:val="651C65A0"/>
    <w:rsid w:val="652E7B23"/>
    <w:rsid w:val="65305715"/>
    <w:rsid w:val="65313731"/>
    <w:rsid w:val="65347A20"/>
    <w:rsid w:val="6537778A"/>
    <w:rsid w:val="65471D1A"/>
    <w:rsid w:val="654A54CF"/>
    <w:rsid w:val="654A637E"/>
    <w:rsid w:val="655326A6"/>
    <w:rsid w:val="655F17C5"/>
    <w:rsid w:val="656F7056"/>
    <w:rsid w:val="657056E7"/>
    <w:rsid w:val="65855F86"/>
    <w:rsid w:val="65B9069A"/>
    <w:rsid w:val="65BC3469"/>
    <w:rsid w:val="65C73D91"/>
    <w:rsid w:val="65CB13EB"/>
    <w:rsid w:val="65DF0182"/>
    <w:rsid w:val="65E95CFC"/>
    <w:rsid w:val="660E6A90"/>
    <w:rsid w:val="660F467B"/>
    <w:rsid w:val="6623355B"/>
    <w:rsid w:val="662B6C30"/>
    <w:rsid w:val="66460B5C"/>
    <w:rsid w:val="66506FA2"/>
    <w:rsid w:val="666F025E"/>
    <w:rsid w:val="66714D06"/>
    <w:rsid w:val="6675203A"/>
    <w:rsid w:val="667C614D"/>
    <w:rsid w:val="667E4756"/>
    <w:rsid w:val="668A4DEE"/>
    <w:rsid w:val="66B809F1"/>
    <w:rsid w:val="66D94879"/>
    <w:rsid w:val="66E1423A"/>
    <w:rsid w:val="66E62729"/>
    <w:rsid w:val="66F5298A"/>
    <w:rsid w:val="66F74ACA"/>
    <w:rsid w:val="67091E73"/>
    <w:rsid w:val="670E7A09"/>
    <w:rsid w:val="671F4B80"/>
    <w:rsid w:val="672158DC"/>
    <w:rsid w:val="673C4927"/>
    <w:rsid w:val="673D3C43"/>
    <w:rsid w:val="67577A84"/>
    <w:rsid w:val="678D68C2"/>
    <w:rsid w:val="67910051"/>
    <w:rsid w:val="67AC6547"/>
    <w:rsid w:val="67AD5D24"/>
    <w:rsid w:val="67B74073"/>
    <w:rsid w:val="67BA2057"/>
    <w:rsid w:val="67BD4959"/>
    <w:rsid w:val="67C3592B"/>
    <w:rsid w:val="67C42D4B"/>
    <w:rsid w:val="67CA4177"/>
    <w:rsid w:val="67D61D5B"/>
    <w:rsid w:val="67E54D41"/>
    <w:rsid w:val="67EF752F"/>
    <w:rsid w:val="680503D7"/>
    <w:rsid w:val="680C54F8"/>
    <w:rsid w:val="68390947"/>
    <w:rsid w:val="68443FE9"/>
    <w:rsid w:val="684C767A"/>
    <w:rsid w:val="685A5796"/>
    <w:rsid w:val="6890445E"/>
    <w:rsid w:val="68A3743C"/>
    <w:rsid w:val="68CF097E"/>
    <w:rsid w:val="68E04EE9"/>
    <w:rsid w:val="68F267CD"/>
    <w:rsid w:val="68F44D6C"/>
    <w:rsid w:val="6942569E"/>
    <w:rsid w:val="695E6011"/>
    <w:rsid w:val="69887C1C"/>
    <w:rsid w:val="69AB6231"/>
    <w:rsid w:val="69EF1634"/>
    <w:rsid w:val="69FE5291"/>
    <w:rsid w:val="6A091713"/>
    <w:rsid w:val="6A17411E"/>
    <w:rsid w:val="6A175FAC"/>
    <w:rsid w:val="6A1A2ACB"/>
    <w:rsid w:val="6A1B2925"/>
    <w:rsid w:val="6A2B6A01"/>
    <w:rsid w:val="6A3641A7"/>
    <w:rsid w:val="6A406804"/>
    <w:rsid w:val="6A415D48"/>
    <w:rsid w:val="6A556F84"/>
    <w:rsid w:val="6A656DC3"/>
    <w:rsid w:val="6A7525CB"/>
    <w:rsid w:val="6A7F4E2C"/>
    <w:rsid w:val="6A8F3618"/>
    <w:rsid w:val="6A9B70B8"/>
    <w:rsid w:val="6A9F1075"/>
    <w:rsid w:val="6AA95134"/>
    <w:rsid w:val="6ABB19EE"/>
    <w:rsid w:val="6ABB31CF"/>
    <w:rsid w:val="6AC33EDA"/>
    <w:rsid w:val="6B1B6F5E"/>
    <w:rsid w:val="6B2C5E57"/>
    <w:rsid w:val="6B4073C5"/>
    <w:rsid w:val="6B60628C"/>
    <w:rsid w:val="6B95418A"/>
    <w:rsid w:val="6BC562A4"/>
    <w:rsid w:val="6BC72795"/>
    <w:rsid w:val="6BE036E2"/>
    <w:rsid w:val="6BE049F8"/>
    <w:rsid w:val="6C2A44A3"/>
    <w:rsid w:val="6C37094B"/>
    <w:rsid w:val="6C3B79A5"/>
    <w:rsid w:val="6C3E16AA"/>
    <w:rsid w:val="6C443D1A"/>
    <w:rsid w:val="6C697051"/>
    <w:rsid w:val="6C870B4E"/>
    <w:rsid w:val="6C913120"/>
    <w:rsid w:val="6CA00BE6"/>
    <w:rsid w:val="6CB54B9A"/>
    <w:rsid w:val="6CD2004C"/>
    <w:rsid w:val="6CF642B9"/>
    <w:rsid w:val="6CFE36D9"/>
    <w:rsid w:val="6D110219"/>
    <w:rsid w:val="6D26434B"/>
    <w:rsid w:val="6D890E7C"/>
    <w:rsid w:val="6D915805"/>
    <w:rsid w:val="6DA328FD"/>
    <w:rsid w:val="6DA42A07"/>
    <w:rsid w:val="6DA45173"/>
    <w:rsid w:val="6DC2793B"/>
    <w:rsid w:val="6DCF54F2"/>
    <w:rsid w:val="6DD83017"/>
    <w:rsid w:val="6DDA788B"/>
    <w:rsid w:val="6DE86958"/>
    <w:rsid w:val="6E044F7F"/>
    <w:rsid w:val="6E0716F7"/>
    <w:rsid w:val="6E1917B0"/>
    <w:rsid w:val="6E406806"/>
    <w:rsid w:val="6E414CF6"/>
    <w:rsid w:val="6E56083B"/>
    <w:rsid w:val="6E600236"/>
    <w:rsid w:val="6E660ECF"/>
    <w:rsid w:val="6E84614F"/>
    <w:rsid w:val="6EBA27CA"/>
    <w:rsid w:val="6ED22E5A"/>
    <w:rsid w:val="6EEA0F04"/>
    <w:rsid w:val="6EED0741"/>
    <w:rsid w:val="6F11389C"/>
    <w:rsid w:val="6F223241"/>
    <w:rsid w:val="6F23223A"/>
    <w:rsid w:val="6F23386D"/>
    <w:rsid w:val="6F2347B1"/>
    <w:rsid w:val="6F240161"/>
    <w:rsid w:val="6F3702A4"/>
    <w:rsid w:val="6F484646"/>
    <w:rsid w:val="6F514FB4"/>
    <w:rsid w:val="6F5D4DD6"/>
    <w:rsid w:val="6F62592C"/>
    <w:rsid w:val="6F6A41AC"/>
    <w:rsid w:val="6F7B7498"/>
    <w:rsid w:val="6F81493A"/>
    <w:rsid w:val="6F853877"/>
    <w:rsid w:val="6FAA7022"/>
    <w:rsid w:val="6FC570D5"/>
    <w:rsid w:val="6FF24E46"/>
    <w:rsid w:val="700205FD"/>
    <w:rsid w:val="70051889"/>
    <w:rsid w:val="70191385"/>
    <w:rsid w:val="70222FB6"/>
    <w:rsid w:val="70375AF0"/>
    <w:rsid w:val="703F5D1E"/>
    <w:rsid w:val="705E098F"/>
    <w:rsid w:val="70631E7E"/>
    <w:rsid w:val="7064260E"/>
    <w:rsid w:val="706C29D3"/>
    <w:rsid w:val="70731390"/>
    <w:rsid w:val="70A27247"/>
    <w:rsid w:val="70B5326E"/>
    <w:rsid w:val="70C37275"/>
    <w:rsid w:val="70C75A90"/>
    <w:rsid w:val="70D9521A"/>
    <w:rsid w:val="70FC7E0F"/>
    <w:rsid w:val="71062494"/>
    <w:rsid w:val="710D1150"/>
    <w:rsid w:val="71121F2B"/>
    <w:rsid w:val="71194D83"/>
    <w:rsid w:val="712F05A2"/>
    <w:rsid w:val="71554335"/>
    <w:rsid w:val="716B45A2"/>
    <w:rsid w:val="716E526F"/>
    <w:rsid w:val="7174685B"/>
    <w:rsid w:val="718034E3"/>
    <w:rsid w:val="718109F9"/>
    <w:rsid w:val="71D270C6"/>
    <w:rsid w:val="71DE1EE0"/>
    <w:rsid w:val="71E9582C"/>
    <w:rsid w:val="71EC1379"/>
    <w:rsid w:val="7200375C"/>
    <w:rsid w:val="7203568B"/>
    <w:rsid w:val="720E733D"/>
    <w:rsid w:val="721825C4"/>
    <w:rsid w:val="722B736B"/>
    <w:rsid w:val="72502996"/>
    <w:rsid w:val="72550C03"/>
    <w:rsid w:val="725D0A7B"/>
    <w:rsid w:val="727556D7"/>
    <w:rsid w:val="72861D9D"/>
    <w:rsid w:val="72C8173E"/>
    <w:rsid w:val="72CD5ED3"/>
    <w:rsid w:val="72E806E3"/>
    <w:rsid w:val="72FB3423"/>
    <w:rsid w:val="7306538A"/>
    <w:rsid w:val="7311430C"/>
    <w:rsid w:val="73446FB3"/>
    <w:rsid w:val="735D007F"/>
    <w:rsid w:val="7366602A"/>
    <w:rsid w:val="738E148D"/>
    <w:rsid w:val="73900A3E"/>
    <w:rsid w:val="73A55F87"/>
    <w:rsid w:val="73F214B1"/>
    <w:rsid w:val="73FB44D0"/>
    <w:rsid w:val="74085E01"/>
    <w:rsid w:val="74246083"/>
    <w:rsid w:val="74297610"/>
    <w:rsid w:val="742C0874"/>
    <w:rsid w:val="743136B5"/>
    <w:rsid w:val="74425DA3"/>
    <w:rsid w:val="74550ADA"/>
    <w:rsid w:val="74611A11"/>
    <w:rsid w:val="746D0221"/>
    <w:rsid w:val="74A05DFE"/>
    <w:rsid w:val="74A4486D"/>
    <w:rsid w:val="74B34480"/>
    <w:rsid w:val="74BB2237"/>
    <w:rsid w:val="74F76BEA"/>
    <w:rsid w:val="74F87848"/>
    <w:rsid w:val="74FC231C"/>
    <w:rsid w:val="750C2009"/>
    <w:rsid w:val="750D2067"/>
    <w:rsid w:val="75252417"/>
    <w:rsid w:val="755B6CF0"/>
    <w:rsid w:val="759620FE"/>
    <w:rsid w:val="75B5473D"/>
    <w:rsid w:val="75BB58A2"/>
    <w:rsid w:val="75C76E84"/>
    <w:rsid w:val="75C774D1"/>
    <w:rsid w:val="75C817DB"/>
    <w:rsid w:val="75CC1FCA"/>
    <w:rsid w:val="75DA4A22"/>
    <w:rsid w:val="75F20092"/>
    <w:rsid w:val="76190BCE"/>
    <w:rsid w:val="761C047C"/>
    <w:rsid w:val="762742B7"/>
    <w:rsid w:val="76305811"/>
    <w:rsid w:val="76323CF7"/>
    <w:rsid w:val="76604176"/>
    <w:rsid w:val="76835A89"/>
    <w:rsid w:val="76917C0C"/>
    <w:rsid w:val="76A13833"/>
    <w:rsid w:val="76A54153"/>
    <w:rsid w:val="76A83B12"/>
    <w:rsid w:val="76D457A0"/>
    <w:rsid w:val="76DA7B4F"/>
    <w:rsid w:val="76DF4D31"/>
    <w:rsid w:val="76EC1A19"/>
    <w:rsid w:val="76FC62FE"/>
    <w:rsid w:val="771A2B5E"/>
    <w:rsid w:val="771D7782"/>
    <w:rsid w:val="7733103F"/>
    <w:rsid w:val="77435814"/>
    <w:rsid w:val="77751F5A"/>
    <w:rsid w:val="779564A3"/>
    <w:rsid w:val="779D7FB7"/>
    <w:rsid w:val="77A80744"/>
    <w:rsid w:val="77AB40E2"/>
    <w:rsid w:val="77CE7303"/>
    <w:rsid w:val="77DC0760"/>
    <w:rsid w:val="77DD4CB3"/>
    <w:rsid w:val="77EE21E1"/>
    <w:rsid w:val="77F16206"/>
    <w:rsid w:val="77F37370"/>
    <w:rsid w:val="77FE614C"/>
    <w:rsid w:val="78253971"/>
    <w:rsid w:val="782E6332"/>
    <w:rsid w:val="78632118"/>
    <w:rsid w:val="78680AFB"/>
    <w:rsid w:val="787244BE"/>
    <w:rsid w:val="788A4A5F"/>
    <w:rsid w:val="789247C1"/>
    <w:rsid w:val="78A6728B"/>
    <w:rsid w:val="78B65844"/>
    <w:rsid w:val="78B676DF"/>
    <w:rsid w:val="78F27204"/>
    <w:rsid w:val="78F27D96"/>
    <w:rsid w:val="78F464BB"/>
    <w:rsid w:val="79015DE7"/>
    <w:rsid w:val="791A1459"/>
    <w:rsid w:val="793B3868"/>
    <w:rsid w:val="79412CA3"/>
    <w:rsid w:val="794168C3"/>
    <w:rsid w:val="796A7E54"/>
    <w:rsid w:val="79812832"/>
    <w:rsid w:val="798D2905"/>
    <w:rsid w:val="79CF354E"/>
    <w:rsid w:val="79DE340D"/>
    <w:rsid w:val="79F72C2C"/>
    <w:rsid w:val="7A03674A"/>
    <w:rsid w:val="7A1653D4"/>
    <w:rsid w:val="7A2135C7"/>
    <w:rsid w:val="7A311C3A"/>
    <w:rsid w:val="7A99628A"/>
    <w:rsid w:val="7AA602D8"/>
    <w:rsid w:val="7AAB151C"/>
    <w:rsid w:val="7ACD57A0"/>
    <w:rsid w:val="7AE83A95"/>
    <w:rsid w:val="7AF94EAC"/>
    <w:rsid w:val="7B146518"/>
    <w:rsid w:val="7B1D6880"/>
    <w:rsid w:val="7B44010B"/>
    <w:rsid w:val="7B587D7C"/>
    <w:rsid w:val="7B7061F6"/>
    <w:rsid w:val="7B711EEF"/>
    <w:rsid w:val="7B832F70"/>
    <w:rsid w:val="7B9A0B96"/>
    <w:rsid w:val="7BA07C89"/>
    <w:rsid w:val="7BC075AF"/>
    <w:rsid w:val="7BD63BA8"/>
    <w:rsid w:val="7BF40A3F"/>
    <w:rsid w:val="7C014A81"/>
    <w:rsid w:val="7C0F20B3"/>
    <w:rsid w:val="7C1A3F77"/>
    <w:rsid w:val="7C233F96"/>
    <w:rsid w:val="7C234E12"/>
    <w:rsid w:val="7C3E41B1"/>
    <w:rsid w:val="7C4A1B59"/>
    <w:rsid w:val="7C5638B4"/>
    <w:rsid w:val="7C662279"/>
    <w:rsid w:val="7C731F47"/>
    <w:rsid w:val="7C7B223D"/>
    <w:rsid w:val="7C7B7197"/>
    <w:rsid w:val="7C89286C"/>
    <w:rsid w:val="7C906EFF"/>
    <w:rsid w:val="7CBC2388"/>
    <w:rsid w:val="7CC11558"/>
    <w:rsid w:val="7CDD2CA8"/>
    <w:rsid w:val="7D021950"/>
    <w:rsid w:val="7D037EDD"/>
    <w:rsid w:val="7D1731A0"/>
    <w:rsid w:val="7D3763C4"/>
    <w:rsid w:val="7D491317"/>
    <w:rsid w:val="7D5452B3"/>
    <w:rsid w:val="7D550B3B"/>
    <w:rsid w:val="7D56209F"/>
    <w:rsid w:val="7D6B2690"/>
    <w:rsid w:val="7D8F448D"/>
    <w:rsid w:val="7D932946"/>
    <w:rsid w:val="7D937478"/>
    <w:rsid w:val="7D9740F0"/>
    <w:rsid w:val="7D9E138F"/>
    <w:rsid w:val="7DB65A7E"/>
    <w:rsid w:val="7DBA2EA8"/>
    <w:rsid w:val="7DBD2B18"/>
    <w:rsid w:val="7DD127DC"/>
    <w:rsid w:val="7DE8072B"/>
    <w:rsid w:val="7DF7377E"/>
    <w:rsid w:val="7E0C5852"/>
    <w:rsid w:val="7E0E2D4D"/>
    <w:rsid w:val="7E190A89"/>
    <w:rsid w:val="7E2F17E0"/>
    <w:rsid w:val="7E3C1D3C"/>
    <w:rsid w:val="7E4619DF"/>
    <w:rsid w:val="7E4E47CF"/>
    <w:rsid w:val="7E5B123E"/>
    <w:rsid w:val="7E7117E4"/>
    <w:rsid w:val="7E991722"/>
    <w:rsid w:val="7E9B170C"/>
    <w:rsid w:val="7EA55936"/>
    <w:rsid w:val="7EAB2AA6"/>
    <w:rsid w:val="7EB621A8"/>
    <w:rsid w:val="7ED1474D"/>
    <w:rsid w:val="7ED60DC5"/>
    <w:rsid w:val="7F2653DA"/>
    <w:rsid w:val="7F374E30"/>
    <w:rsid w:val="7F4F5AC9"/>
    <w:rsid w:val="7F646B55"/>
    <w:rsid w:val="7F7E6D21"/>
    <w:rsid w:val="7F9D1799"/>
    <w:rsid w:val="7FE031CA"/>
    <w:rsid w:val="7FF724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仿宋" w:hAnsi="仿宋" w:eastAsia="仿宋" w:cs="仿宋"/>
      <w:kern w:val="2"/>
      <w:sz w:val="28"/>
      <w:szCs w:val="28"/>
      <w:lang w:val="en-US" w:eastAsia="zh-CN" w:bidi="ar-SA"/>
    </w:rPr>
  </w:style>
  <w:style w:type="paragraph" w:styleId="2">
    <w:name w:val="heading 1"/>
    <w:basedOn w:val="1"/>
    <w:next w:val="1"/>
    <w:link w:val="50"/>
    <w:qFormat/>
    <w:uiPriority w:val="0"/>
    <w:pPr>
      <w:keepNext/>
      <w:keepLines/>
      <w:pageBreakBefore/>
      <w:spacing w:before="340" w:after="330"/>
      <w:ind w:firstLine="0" w:firstLineChars="0"/>
      <w:jc w:val="center"/>
      <w:outlineLvl w:val="0"/>
    </w:pPr>
    <w:rPr>
      <w:rFonts w:ascii="Times New Roman" w:hAnsi="Times New Roman" w:eastAsia="方正大标宋简体"/>
      <w:b/>
      <w:bCs/>
      <w:kern w:val="44"/>
      <w:sz w:val="36"/>
      <w:szCs w:val="44"/>
    </w:rPr>
  </w:style>
  <w:style w:type="paragraph" w:styleId="3">
    <w:name w:val="heading 2"/>
    <w:basedOn w:val="1"/>
    <w:next w:val="1"/>
    <w:link w:val="51"/>
    <w:qFormat/>
    <w:uiPriority w:val="9"/>
    <w:pPr>
      <w:keepNext/>
      <w:keepLines/>
      <w:tabs>
        <w:tab w:val="left" w:pos="2420"/>
      </w:tabs>
      <w:spacing w:before="80" w:beforeLines="80" w:after="90" w:afterLines="90" w:line="240" w:lineRule="auto"/>
      <w:ind w:firstLine="0" w:firstLineChars="0"/>
      <w:outlineLvl w:val="1"/>
    </w:pPr>
    <w:rPr>
      <w:rFonts w:ascii="方正大标宋简体" w:hAnsi="方正大标宋简体" w:eastAsia="方正大标宋简体" w:cs="方正大标宋简体"/>
      <w:b/>
      <w:sz w:val="32"/>
      <w:szCs w:val="32"/>
    </w:rPr>
  </w:style>
  <w:style w:type="paragraph" w:styleId="4">
    <w:name w:val="heading 3"/>
    <w:basedOn w:val="1"/>
    <w:next w:val="1"/>
    <w:link w:val="48"/>
    <w:qFormat/>
    <w:uiPriority w:val="0"/>
    <w:pPr>
      <w:keepLines/>
      <w:tabs>
        <w:tab w:val="left" w:pos="2420"/>
      </w:tabs>
      <w:outlineLvl w:val="2"/>
    </w:pPr>
    <w:rPr>
      <w:rFonts w:ascii="方正大标宋简体" w:hAnsi="方正大标宋简体" w:eastAsia="方正大标宋简体" w:cs="方正大标宋简体"/>
      <w:bCs/>
      <w:sz w:val="30"/>
      <w:szCs w:val="30"/>
    </w:rPr>
  </w:style>
  <w:style w:type="paragraph" w:styleId="5">
    <w:name w:val="heading 4"/>
    <w:basedOn w:val="1"/>
    <w:next w:val="1"/>
    <w:qFormat/>
    <w:uiPriority w:val="0"/>
    <w:pPr>
      <w:keepNext/>
      <w:keepLines/>
      <w:spacing w:line="360" w:lineRule="auto"/>
      <w:outlineLvl w:val="3"/>
    </w:pPr>
    <w:rPr>
      <w:szCs w:val="28"/>
    </w:rPr>
  </w:style>
  <w:style w:type="paragraph" w:styleId="6">
    <w:name w:val="heading 5"/>
    <w:basedOn w:val="1"/>
    <w:next w:val="1"/>
    <w:qFormat/>
    <w:uiPriority w:val="0"/>
    <w:pPr>
      <w:keepNext/>
      <w:keepLines/>
      <w:spacing w:line="360" w:lineRule="auto"/>
      <w:outlineLvl w:val="4"/>
    </w:pPr>
    <w:rPr>
      <w:rFonts w:ascii="仿宋" w:hAnsi="仿宋"/>
      <w:szCs w:val="28"/>
    </w:rPr>
  </w:style>
  <w:style w:type="paragraph" w:styleId="7">
    <w:name w:val="heading 6"/>
    <w:basedOn w:val="1"/>
    <w:next w:val="1"/>
    <w:qFormat/>
    <w:uiPriority w:val="0"/>
    <w:pPr>
      <w:keepNext/>
      <w:keepLines/>
      <w:tabs>
        <w:tab w:val="left" w:pos="2720"/>
      </w:tabs>
      <w:spacing w:before="240" w:after="64" w:line="320" w:lineRule="auto"/>
      <w:outlineLvl w:val="5"/>
    </w:pPr>
    <w:rPr>
      <w:rFonts w:ascii="Arial" w:hAnsi="Arial" w:eastAsia="黑体"/>
      <w:b/>
      <w:bCs/>
      <w:sz w:val="24"/>
      <w:szCs w:val="28"/>
    </w:rPr>
  </w:style>
  <w:style w:type="paragraph" w:styleId="8">
    <w:name w:val="heading 7"/>
    <w:basedOn w:val="1"/>
    <w:next w:val="1"/>
    <w:qFormat/>
    <w:uiPriority w:val="0"/>
    <w:pPr>
      <w:keepNext/>
      <w:keepLines/>
      <w:tabs>
        <w:tab w:val="left" w:pos="3080"/>
      </w:tabs>
      <w:spacing w:before="240" w:after="64" w:line="320" w:lineRule="auto"/>
      <w:outlineLvl w:val="6"/>
    </w:pPr>
    <w:rPr>
      <w:rFonts w:ascii="宋体"/>
      <w:b/>
      <w:bCs/>
      <w:sz w:val="24"/>
      <w:szCs w:val="28"/>
    </w:rPr>
  </w:style>
  <w:style w:type="paragraph" w:styleId="9">
    <w:name w:val="heading 8"/>
    <w:basedOn w:val="1"/>
    <w:next w:val="1"/>
    <w:qFormat/>
    <w:uiPriority w:val="0"/>
    <w:pPr>
      <w:keepNext/>
      <w:keepLines/>
      <w:tabs>
        <w:tab w:val="left" w:pos="3800"/>
      </w:tabs>
      <w:spacing w:before="240" w:after="64" w:line="320" w:lineRule="auto"/>
      <w:outlineLvl w:val="7"/>
    </w:pPr>
    <w:rPr>
      <w:rFonts w:ascii="Arial" w:hAnsi="Arial" w:eastAsia="黑体"/>
      <w:sz w:val="24"/>
      <w:szCs w:val="28"/>
    </w:rPr>
  </w:style>
  <w:style w:type="paragraph" w:styleId="10">
    <w:name w:val="heading 9"/>
    <w:basedOn w:val="1"/>
    <w:next w:val="1"/>
    <w:qFormat/>
    <w:uiPriority w:val="0"/>
    <w:pPr>
      <w:keepNext/>
      <w:keepLines/>
      <w:tabs>
        <w:tab w:val="left" w:pos="4160"/>
      </w:tabs>
      <w:spacing w:before="240" w:after="64" w:line="320" w:lineRule="auto"/>
      <w:outlineLvl w:val="8"/>
    </w:pPr>
    <w:rPr>
      <w:rFonts w:ascii="Arial" w:hAnsi="Arial" w:eastAsia="黑体"/>
      <w:szCs w:val="21"/>
    </w:rPr>
  </w:style>
  <w:style w:type="character" w:default="1" w:styleId="42">
    <w:name w:val="Default Paragraph Font"/>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21"/>
      <w:szCs w:val="21"/>
    </w:rPr>
  </w:style>
  <w:style w:type="paragraph" w:styleId="12">
    <w:name w:val="Normal Indent"/>
    <w:basedOn w:val="1"/>
    <w:link w:val="79"/>
    <w:qFormat/>
    <w:uiPriority w:val="0"/>
    <w:pPr>
      <w:ind w:firstLine="420"/>
    </w:pPr>
    <w:rPr>
      <w:szCs w:val="20"/>
    </w:rPr>
  </w:style>
  <w:style w:type="paragraph" w:styleId="13">
    <w:name w:val="Document Map"/>
    <w:basedOn w:val="1"/>
    <w:link w:val="75"/>
    <w:qFormat/>
    <w:uiPriority w:val="0"/>
    <w:pPr>
      <w:shd w:val="clear" w:color="auto" w:fill="000080"/>
    </w:pPr>
  </w:style>
  <w:style w:type="paragraph" w:styleId="14">
    <w:name w:val="Body Text"/>
    <w:basedOn w:val="1"/>
    <w:next w:val="15"/>
    <w:link w:val="169"/>
    <w:qFormat/>
    <w:uiPriority w:val="0"/>
    <w:pPr>
      <w:jc w:val="center"/>
    </w:pPr>
    <w:rPr>
      <w:sz w:val="21"/>
    </w:rPr>
  </w:style>
  <w:style w:type="paragraph" w:styleId="15">
    <w:name w:val="Body Text Indent"/>
    <w:basedOn w:val="1"/>
    <w:next w:val="16"/>
    <w:qFormat/>
    <w:uiPriority w:val="0"/>
    <w:pPr>
      <w:autoSpaceDE w:val="0"/>
      <w:autoSpaceDN w:val="0"/>
      <w:adjustRightInd w:val="0"/>
      <w:ind w:firstLine="560"/>
    </w:pPr>
    <w:rPr>
      <w:rFonts w:hAnsi="宋体"/>
      <w:szCs w:val="28"/>
    </w:rPr>
  </w:style>
  <w:style w:type="paragraph" w:styleId="16">
    <w:name w:val="Body Text First Indent 2"/>
    <w:basedOn w:val="15"/>
    <w:next w:val="1"/>
    <w:qFormat/>
    <w:uiPriority w:val="0"/>
    <w:pPr>
      <w:autoSpaceDE/>
      <w:autoSpaceDN/>
      <w:adjustRightInd/>
      <w:spacing w:after="120"/>
      <w:ind w:left="420" w:leftChars="200" w:firstLine="420"/>
    </w:pPr>
    <w:rPr>
      <w:rFonts w:hAnsi="Times New Roman"/>
      <w:szCs w:val="24"/>
    </w:rPr>
  </w:style>
  <w:style w:type="paragraph" w:styleId="17">
    <w:name w:val="Block Text"/>
    <w:basedOn w:val="1"/>
    <w:qFormat/>
    <w:uiPriority w:val="0"/>
    <w:pPr>
      <w:autoSpaceDE w:val="0"/>
      <w:autoSpaceDN w:val="0"/>
      <w:adjustRightInd w:val="0"/>
      <w:spacing w:line="480" w:lineRule="exact"/>
      <w:ind w:left="510" w:leftChars="150" w:right="-17" w:rightChars="-5" w:firstLine="510"/>
      <w:jc w:val="left"/>
    </w:pPr>
    <w:rPr>
      <w:rFonts w:ascii="宋体"/>
      <w:kern w:val="0"/>
      <w:szCs w:val="20"/>
    </w:rPr>
  </w:style>
  <w:style w:type="paragraph" w:styleId="18">
    <w:name w:val="toc 5"/>
    <w:basedOn w:val="1"/>
    <w:next w:val="1"/>
    <w:qFormat/>
    <w:uiPriority w:val="39"/>
    <w:pPr>
      <w:ind w:left="840"/>
      <w:jc w:val="left"/>
    </w:pPr>
    <w:rPr>
      <w:sz w:val="21"/>
      <w:szCs w:val="21"/>
    </w:rPr>
  </w:style>
  <w:style w:type="paragraph" w:styleId="19">
    <w:name w:val="toc 3"/>
    <w:basedOn w:val="1"/>
    <w:next w:val="1"/>
    <w:qFormat/>
    <w:uiPriority w:val="39"/>
    <w:pPr>
      <w:ind w:left="420"/>
      <w:jc w:val="left"/>
    </w:pPr>
    <w:rPr>
      <w:i/>
      <w:iCs/>
      <w:sz w:val="21"/>
    </w:rPr>
  </w:style>
  <w:style w:type="paragraph" w:styleId="20">
    <w:name w:val="Plain Text"/>
    <w:basedOn w:val="1"/>
    <w:link w:val="76"/>
    <w:qFormat/>
    <w:uiPriority w:val="0"/>
    <w:rPr>
      <w:rFonts w:ascii="宋体" w:hAnsi="Courier New" w:cs="Courier New"/>
      <w:sz w:val="21"/>
      <w:szCs w:val="21"/>
    </w:rPr>
  </w:style>
  <w:style w:type="paragraph" w:styleId="21">
    <w:name w:val="toc 8"/>
    <w:basedOn w:val="1"/>
    <w:next w:val="1"/>
    <w:qFormat/>
    <w:uiPriority w:val="39"/>
    <w:pPr>
      <w:ind w:left="1470"/>
      <w:jc w:val="left"/>
    </w:pPr>
    <w:rPr>
      <w:sz w:val="21"/>
      <w:szCs w:val="21"/>
    </w:rPr>
  </w:style>
  <w:style w:type="paragraph" w:styleId="22">
    <w:name w:val="Date"/>
    <w:basedOn w:val="1"/>
    <w:next w:val="1"/>
    <w:qFormat/>
    <w:uiPriority w:val="0"/>
    <w:pPr>
      <w:ind w:left="100" w:leftChars="2500"/>
    </w:pPr>
    <w:rPr>
      <w:sz w:val="21"/>
    </w:rPr>
  </w:style>
  <w:style w:type="paragraph" w:styleId="23">
    <w:name w:val="Body Text Indent 2"/>
    <w:basedOn w:val="1"/>
    <w:qFormat/>
    <w:uiPriority w:val="0"/>
    <w:pPr>
      <w:ind w:firstLine="640"/>
    </w:pPr>
    <w:rPr>
      <w:rFonts w:eastAsia="仿宋_GB2312"/>
    </w:rPr>
  </w:style>
  <w:style w:type="paragraph" w:styleId="24">
    <w:name w:val="Balloon Text"/>
    <w:basedOn w:val="1"/>
    <w:qFormat/>
    <w:uiPriority w:val="0"/>
    <w:rPr>
      <w:sz w:val="18"/>
      <w:szCs w:val="18"/>
    </w:rPr>
  </w:style>
  <w:style w:type="paragraph" w:styleId="25">
    <w:name w:val="footer"/>
    <w:basedOn w:val="1"/>
    <w:link w:val="232"/>
    <w:qFormat/>
    <w:uiPriority w:val="0"/>
    <w:pPr>
      <w:tabs>
        <w:tab w:val="center" w:pos="4153"/>
        <w:tab w:val="right" w:pos="8306"/>
      </w:tabs>
      <w:snapToGrid w:val="0"/>
      <w:jc w:val="left"/>
    </w:pPr>
    <w:rPr>
      <w:sz w:val="18"/>
    </w:rPr>
  </w:style>
  <w:style w:type="paragraph" w:styleId="26">
    <w:name w:val="header"/>
    <w:basedOn w:val="1"/>
    <w:link w:val="5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7">
    <w:name w:val="toc 1"/>
    <w:basedOn w:val="1"/>
    <w:next w:val="1"/>
    <w:qFormat/>
    <w:uiPriority w:val="39"/>
    <w:pPr>
      <w:spacing w:before="120" w:after="120"/>
      <w:jc w:val="left"/>
    </w:pPr>
    <w:rPr>
      <w:b/>
      <w:bCs/>
      <w:caps/>
    </w:rPr>
  </w:style>
  <w:style w:type="paragraph" w:styleId="28">
    <w:name w:val="toc 4"/>
    <w:basedOn w:val="1"/>
    <w:next w:val="1"/>
    <w:qFormat/>
    <w:uiPriority w:val="39"/>
    <w:pPr>
      <w:ind w:left="630"/>
      <w:jc w:val="left"/>
    </w:pPr>
    <w:rPr>
      <w:sz w:val="21"/>
      <w:szCs w:val="21"/>
    </w:rPr>
  </w:style>
  <w:style w:type="paragraph" w:styleId="29">
    <w:name w:val="Subtitle"/>
    <w:basedOn w:val="1"/>
    <w:next w:val="1"/>
    <w:qFormat/>
    <w:uiPriority w:val="0"/>
    <w:pPr>
      <w:spacing w:before="240" w:after="60" w:line="312" w:lineRule="auto"/>
      <w:jc w:val="left"/>
      <w:outlineLvl w:val="1"/>
    </w:pPr>
    <w:rPr>
      <w:rFonts w:ascii="Cambria" w:hAnsi="Cambria"/>
      <w:b/>
      <w:bCs/>
      <w:kern w:val="28"/>
      <w:szCs w:val="32"/>
    </w:rPr>
  </w:style>
  <w:style w:type="paragraph" w:styleId="30">
    <w:name w:val="footnote text"/>
    <w:basedOn w:val="1"/>
    <w:qFormat/>
    <w:uiPriority w:val="0"/>
    <w:pPr>
      <w:snapToGrid w:val="0"/>
      <w:jc w:val="left"/>
    </w:pPr>
    <w:rPr>
      <w:rFonts w:ascii="宋体" w:cs="宋体"/>
      <w:sz w:val="18"/>
      <w:szCs w:val="28"/>
    </w:rPr>
  </w:style>
  <w:style w:type="paragraph" w:styleId="31">
    <w:name w:val="toc 6"/>
    <w:basedOn w:val="1"/>
    <w:next w:val="1"/>
    <w:qFormat/>
    <w:uiPriority w:val="39"/>
    <w:pPr>
      <w:ind w:left="1050"/>
      <w:jc w:val="left"/>
    </w:pPr>
    <w:rPr>
      <w:sz w:val="21"/>
      <w:szCs w:val="21"/>
    </w:rPr>
  </w:style>
  <w:style w:type="paragraph" w:styleId="32">
    <w:name w:val="Body Text Indent 3"/>
    <w:basedOn w:val="1"/>
    <w:link w:val="66"/>
    <w:qFormat/>
    <w:uiPriority w:val="0"/>
    <w:pPr>
      <w:spacing w:after="120"/>
      <w:ind w:left="420" w:leftChars="200"/>
    </w:pPr>
    <w:rPr>
      <w:kern w:val="0"/>
      <w:sz w:val="16"/>
      <w:szCs w:val="16"/>
    </w:rPr>
  </w:style>
  <w:style w:type="paragraph" w:styleId="33">
    <w:name w:val="toc 2"/>
    <w:basedOn w:val="1"/>
    <w:next w:val="1"/>
    <w:qFormat/>
    <w:uiPriority w:val="39"/>
    <w:pPr>
      <w:ind w:left="210"/>
      <w:jc w:val="left"/>
    </w:pPr>
    <w:rPr>
      <w:smallCaps/>
    </w:rPr>
  </w:style>
  <w:style w:type="paragraph" w:styleId="34">
    <w:name w:val="toc 9"/>
    <w:basedOn w:val="1"/>
    <w:next w:val="1"/>
    <w:qFormat/>
    <w:uiPriority w:val="39"/>
    <w:pPr>
      <w:ind w:left="1680"/>
      <w:jc w:val="left"/>
    </w:pPr>
    <w:rPr>
      <w:sz w:val="21"/>
      <w:szCs w:val="21"/>
    </w:rPr>
  </w:style>
  <w:style w:type="paragraph" w:styleId="35">
    <w:name w:val="Body Text 2"/>
    <w:basedOn w:val="1"/>
    <w:qFormat/>
    <w:uiPriority w:val="0"/>
    <w:pPr>
      <w:spacing w:after="120" w:line="480" w:lineRule="auto"/>
    </w:pPr>
    <w:rPr>
      <w:sz w:val="21"/>
    </w:r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color w:val="000000"/>
      <w:kern w:val="0"/>
      <w:sz w:val="18"/>
      <w:szCs w:val="18"/>
    </w:rPr>
  </w:style>
  <w:style w:type="paragraph" w:styleId="38">
    <w:name w:val="index 1"/>
    <w:basedOn w:val="1"/>
    <w:next w:val="1"/>
    <w:qFormat/>
    <w:uiPriority w:val="0"/>
    <w:pPr>
      <w:jc w:val="center"/>
    </w:pPr>
    <w:rPr>
      <w:rFonts w:ascii="宋体" w:hAnsi="宋体"/>
      <w:b/>
      <w:bCs/>
    </w:rPr>
  </w:style>
  <w:style w:type="paragraph" w:styleId="39">
    <w:name w:val="Body Text First Indent"/>
    <w:basedOn w:val="14"/>
    <w:next w:val="1"/>
    <w:link w:val="170"/>
    <w:qFormat/>
    <w:uiPriority w:val="0"/>
    <w:pPr>
      <w:ind w:firstLine="562" w:firstLineChars="200"/>
      <w:jc w:val="both"/>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22"/>
    <w:rPr>
      <w:b/>
      <w:bCs/>
    </w:rPr>
  </w:style>
  <w:style w:type="character" w:styleId="44">
    <w:name w:val="page number"/>
    <w:basedOn w:val="42"/>
    <w:qFormat/>
    <w:uiPriority w:val="0"/>
  </w:style>
  <w:style w:type="character" w:styleId="45">
    <w:name w:val="FollowedHyperlink"/>
    <w:qFormat/>
    <w:uiPriority w:val="99"/>
    <w:rPr>
      <w:color w:val="000000"/>
      <w:u w:val="none"/>
    </w:rPr>
  </w:style>
  <w:style w:type="character" w:styleId="46">
    <w:name w:val="Emphasis"/>
    <w:basedOn w:val="42"/>
    <w:qFormat/>
    <w:uiPriority w:val="0"/>
    <w:rPr>
      <w:i/>
    </w:rPr>
  </w:style>
  <w:style w:type="character" w:styleId="47">
    <w:name w:val="Hyperlink"/>
    <w:qFormat/>
    <w:uiPriority w:val="99"/>
    <w:rPr>
      <w:color w:val="000000"/>
      <w:u w:val="none"/>
    </w:rPr>
  </w:style>
  <w:style w:type="character" w:customStyle="1" w:styleId="48">
    <w:name w:val="标题 3 Char"/>
    <w:link w:val="4"/>
    <w:qFormat/>
    <w:uiPriority w:val="0"/>
    <w:rPr>
      <w:rFonts w:ascii="方正大标宋简体" w:hAnsi="方正大标宋简体" w:eastAsia="方正大标宋简体" w:cs="方正大标宋简体"/>
      <w:bCs/>
      <w:kern w:val="2"/>
      <w:sz w:val="30"/>
      <w:szCs w:val="30"/>
      <w:lang w:val="en-US" w:eastAsia="zh-CN" w:bidi="ar-SA"/>
    </w:rPr>
  </w:style>
  <w:style w:type="paragraph" w:styleId="4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标题 1 Char"/>
    <w:link w:val="2"/>
    <w:qFormat/>
    <w:uiPriority w:val="0"/>
    <w:rPr>
      <w:rFonts w:ascii="Times New Roman" w:hAnsi="Times New Roman" w:eastAsia="方正大标宋简体"/>
      <w:b/>
      <w:bCs/>
      <w:kern w:val="44"/>
      <w:sz w:val="36"/>
      <w:szCs w:val="44"/>
    </w:rPr>
  </w:style>
  <w:style w:type="character" w:customStyle="1" w:styleId="51">
    <w:name w:val="标题 2 Char"/>
    <w:link w:val="3"/>
    <w:qFormat/>
    <w:uiPriority w:val="9"/>
    <w:rPr>
      <w:rFonts w:ascii="方正大标宋简体" w:hAnsi="方正大标宋简体" w:eastAsia="方正大标宋简体" w:cs="方正大标宋简体"/>
      <w:b/>
      <w:bCs/>
      <w:kern w:val="2"/>
      <w:sz w:val="32"/>
      <w:szCs w:val="32"/>
      <w:lang w:val="en-US" w:eastAsia="zh-CN" w:bidi="ar-SA"/>
    </w:rPr>
  </w:style>
  <w:style w:type="character" w:customStyle="1" w:styleId="52">
    <w:name w:val="标题 2 Char1"/>
    <w:qFormat/>
    <w:uiPriority w:val="0"/>
    <w:rPr>
      <w:rFonts w:ascii="Arial" w:hAnsi="Arial" w:eastAsia="宋体"/>
      <w:b/>
      <w:bCs/>
      <w:kern w:val="2"/>
      <w:sz w:val="30"/>
      <w:szCs w:val="32"/>
      <w:lang w:val="en-US" w:eastAsia="zh-CN" w:bidi="ar-SA"/>
    </w:rPr>
  </w:style>
  <w:style w:type="character" w:customStyle="1" w:styleId="53">
    <w:name w:val="Char Char10"/>
    <w:qFormat/>
    <w:uiPriority w:val="0"/>
    <w:rPr>
      <w:rFonts w:ascii="宋体" w:hAnsi="Courier New" w:eastAsia="宋体" w:cs="Courier New"/>
      <w:kern w:val="2"/>
      <w:sz w:val="21"/>
      <w:szCs w:val="21"/>
      <w:lang w:val="en-US" w:eastAsia="zh-CN" w:bidi="ar-SA"/>
    </w:rPr>
  </w:style>
  <w:style w:type="character" w:customStyle="1" w:styleId="54">
    <w:name w:val="ca-31"/>
    <w:qFormat/>
    <w:uiPriority w:val="0"/>
    <w:rPr>
      <w:rFonts w:hint="default" w:ascii="Times New Roman" w:hAnsi="Times New Roman" w:cs="Times New Roman"/>
      <w:sz w:val="28"/>
      <w:szCs w:val="28"/>
    </w:rPr>
  </w:style>
  <w:style w:type="character" w:customStyle="1" w:styleId="55">
    <w:name w:val="普通文字 Char Char"/>
    <w:qFormat/>
    <w:uiPriority w:val="0"/>
    <w:rPr>
      <w:rFonts w:ascii="宋体" w:hAnsi="Lucida Console" w:eastAsia="宋体"/>
      <w:kern w:val="2"/>
      <w:sz w:val="21"/>
      <w:lang w:val="en-US" w:eastAsia="zh-CN" w:bidi="ar-SA"/>
    </w:rPr>
  </w:style>
  <w:style w:type="character" w:customStyle="1" w:styleId="56">
    <w:name w:val="headline-content2"/>
    <w:basedOn w:val="42"/>
    <w:qFormat/>
    <w:uiPriority w:val="0"/>
  </w:style>
  <w:style w:type="character" w:customStyle="1" w:styleId="57">
    <w:name w:val="Char Char1"/>
    <w:qFormat/>
    <w:uiPriority w:val="0"/>
    <w:rPr>
      <w:rFonts w:ascii="宋体" w:hAnsi="Courier New" w:eastAsia="宋体" w:cs="Courier New"/>
      <w:kern w:val="2"/>
      <w:sz w:val="21"/>
      <w:szCs w:val="21"/>
      <w:lang w:val="en-US" w:eastAsia="zh-CN" w:bidi="ar-SA"/>
    </w:rPr>
  </w:style>
  <w:style w:type="character" w:customStyle="1" w:styleId="58">
    <w:name w:val="ca-2"/>
    <w:basedOn w:val="42"/>
    <w:qFormat/>
    <w:uiPriority w:val="0"/>
  </w:style>
  <w:style w:type="character" w:customStyle="1" w:styleId="59">
    <w:name w:val="页眉 Char"/>
    <w:link w:val="26"/>
    <w:qFormat/>
    <w:uiPriority w:val="0"/>
    <w:rPr>
      <w:kern w:val="2"/>
      <w:sz w:val="18"/>
      <w:szCs w:val="24"/>
    </w:rPr>
  </w:style>
  <w:style w:type="character" w:customStyle="1" w:styleId="60">
    <w:name w:val="ca-11"/>
    <w:qFormat/>
    <w:uiPriority w:val="0"/>
    <w:rPr>
      <w:rFonts w:hint="eastAsia" w:ascii="黑体" w:eastAsia="黑体"/>
      <w:sz w:val="28"/>
      <w:szCs w:val="28"/>
    </w:rPr>
  </w:style>
  <w:style w:type="character" w:customStyle="1" w:styleId="61">
    <w:name w:val="bds_nopic1"/>
    <w:basedOn w:val="42"/>
    <w:qFormat/>
    <w:uiPriority w:val="0"/>
  </w:style>
  <w:style w:type="character" w:customStyle="1" w:styleId="62">
    <w:name w:val="bds_nopic"/>
    <w:basedOn w:val="42"/>
    <w:qFormat/>
    <w:uiPriority w:val="0"/>
  </w:style>
  <w:style w:type="character" w:customStyle="1" w:styleId="63">
    <w:name w:val="apple-converted-space"/>
    <w:basedOn w:val="42"/>
    <w:qFormat/>
    <w:uiPriority w:val="0"/>
  </w:style>
  <w:style w:type="character" w:customStyle="1" w:styleId="64">
    <w:name w:val="bds_more"/>
    <w:qFormat/>
    <w:uiPriority w:val="0"/>
    <w:rPr>
      <w:rFonts w:hint="eastAsia" w:ascii="宋体" w:hAnsi="宋体" w:eastAsia="宋体" w:cs="宋体"/>
    </w:rPr>
  </w:style>
  <w:style w:type="character" w:customStyle="1" w:styleId="65">
    <w:name w:val="span1"/>
    <w:qFormat/>
    <w:uiPriority w:val="0"/>
    <w:rPr>
      <w:color w:val="1C1C1C"/>
      <w:sz w:val="21"/>
      <w:szCs w:val="21"/>
    </w:rPr>
  </w:style>
  <w:style w:type="character" w:customStyle="1" w:styleId="66">
    <w:name w:val="正文文本缩进 3 Char"/>
    <w:link w:val="32"/>
    <w:qFormat/>
    <w:uiPriority w:val="0"/>
    <w:rPr>
      <w:sz w:val="16"/>
      <w:szCs w:val="16"/>
      <w:lang w:bidi="ar-SA"/>
    </w:rPr>
  </w:style>
  <w:style w:type="character" w:customStyle="1" w:styleId="67">
    <w:name w:val="bds_nopic2"/>
    <w:basedOn w:val="42"/>
    <w:qFormat/>
    <w:uiPriority w:val="0"/>
  </w:style>
  <w:style w:type="character" w:customStyle="1" w:styleId="68">
    <w:name w:val="正文文本sqf"/>
    <w:qFormat/>
    <w:uiPriority w:val="0"/>
    <w:rPr>
      <w:rFonts w:ascii="宋体" w:hAnsi="宋体"/>
    </w:rPr>
  </w:style>
  <w:style w:type="character" w:customStyle="1" w:styleId="69">
    <w:name w:val="a-size-large"/>
    <w:basedOn w:val="42"/>
    <w:qFormat/>
    <w:uiPriority w:val="0"/>
  </w:style>
  <w:style w:type="character" w:customStyle="1" w:styleId="70">
    <w:name w:val="正文应用 Char Char"/>
    <w:link w:val="71"/>
    <w:qFormat/>
    <w:uiPriority w:val="0"/>
    <w:rPr>
      <w:sz w:val="24"/>
      <w:szCs w:val="24"/>
    </w:rPr>
  </w:style>
  <w:style w:type="paragraph" w:customStyle="1" w:styleId="71">
    <w:name w:val="正文应用"/>
    <w:basedOn w:val="1"/>
    <w:link w:val="70"/>
    <w:qFormat/>
    <w:uiPriority w:val="0"/>
    <w:pPr>
      <w:ind w:firstLine="200"/>
    </w:pPr>
    <w:rPr>
      <w:kern w:val="0"/>
      <w:sz w:val="24"/>
    </w:rPr>
  </w:style>
  <w:style w:type="character" w:customStyle="1" w:styleId="72">
    <w:name w:val="apple-style-span"/>
    <w:basedOn w:val="42"/>
    <w:qFormat/>
    <w:uiPriority w:val="0"/>
  </w:style>
  <w:style w:type="character" w:customStyle="1" w:styleId="73">
    <w:name w:val="current"/>
    <w:qFormat/>
    <w:uiPriority w:val="0"/>
    <w:rPr>
      <w:b/>
      <w:color w:val="FF6500"/>
      <w:bdr w:val="single" w:color="FF6500" w:sz="6" w:space="0"/>
      <w:shd w:val="clear" w:color="auto" w:fill="FFBE94"/>
    </w:rPr>
  </w:style>
  <w:style w:type="character" w:customStyle="1" w:styleId="74">
    <w:name w:val="Char Char4"/>
    <w:qFormat/>
    <w:uiPriority w:val="0"/>
    <w:rPr>
      <w:b/>
      <w:bCs/>
      <w:kern w:val="44"/>
      <w:sz w:val="36"/>
      <w:szCs w:val="44"/>
    </w:rPr>
  </w:style>
  <w:style w:type="character" w:customStyle="1" w:styleId="75">
    <w:name w:val="文档结构图 Char"/>
    <w:link w:val="13"/>
    <w:qFormat/>
    <w:uiPriority w:val="0"/>
    <w:rPr>
      <w:kern w:val="2"/>
      <w:sz w:val="28"/>
      <w:szCs w:val="24"/>
      <w:shd w:val="clear" w:color="auto" w:fill="000080"/>
    </w:rPr>
  </w:style>
  <w:style w:type="character" w:customStyle="1" w:styleId="76">
    <w:name w:val="纯文本 Char"/>
    <w:link w:val="20"/>
    <w:qFormat/>
    <w:uiPriority w:val="0"/>
    <w:rPr>
      <w:rFonts w:ascii="宋体" w:hAnsi="Courier New" w:eastAsia="宋体" w:cs="Courier New"/>
      <w:kern w:val="2"/>
      <w:sz w:val="21"/>
      <w:szCs w:val="21"/>
      <w:lang w:val="en-US" w:eastAsia="zh-CN" w:bidi="ar-SA"/>
    </w:rPr>
  </w:style>
  <w:style w:type="character" w:customStyle="1" w:styleId="77">
    <w:name w:val="ca-21"/>
    <w:qFormat/>
    <w:uiPriority w:val="0"/>
    <w:rPr>
      <w:rFonts w:hint="eastAsia" w:ascii="宋体" w:hAnsi="宋体" w:eastAsia="宋体"/>
      <w:color w:val="000000"/>
      <w:sz w:val="28"/>
      <w:szCs w:val="28"/>
    </w:rPr>
  </w:style>
  <w:style w:type="character" w:customStyle="1" w:styleId="78">
    <w:name w:val="disabled"/>
    <w:qFormat/>
    <w:uiPriority w:val="0"/>
    <w:rPr>
      <w:color w:val="FFE3C6"/>
      <w:bdr w:val="single" w:color="FFE3C6" w:sz="6" w:space="0"/>
    </w:rPr>
  </w:style>
  <w:style w:type="character" w:customStyle="1" w:styleId="79">
    <w:name w:val="正文缩进 Char"/>
    <w:link w:val="12"/>
    <w:qFormat/>
    <w:uiPriority w:val="0"/>
    <w:rPr>
      <w:kern w:val="2"/>
      <w:sz w:val="28"/>
    </w:rPr>
  </w:style>
  <w:style w:type="paragraph" w:customStyle="1" w:styleId="80">
    <w:name w:val="_Style 22"/>
    <w:basedOn w:val="1"/>
    <w:qFormat/>
    <w:uiPriority w:val="0"/>
    <w:pPr>
      <w:jc w:val="left"/>
    </w:pPr>
    <w:rPr>
      <w:szCs w:val="20"/>
    </w:rPr>
  </w:style>
  <w:style w:type="paragraph" w:customStyle="1" w:styleId="8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2">
    <w:name w:val="Char1211"/>
    <w:basedOn w:val="1"/>
    <w:qFormat/>
    <w:uiPriority w:val="0"/>
    <w:pPr>
      <w:spacing w:line="500" w:lineRule="exact"/>
      <w:ind w:firstLine="560"/>
    </w:pPr>
    <w:rPr>
      <w:rFonts w:eastAsia="Adobe 仿宋 Std R"/>
      <w:szCs w:val="20"/>
    </w:rPr>
  </w:style>
  <w:style w:type="paragraph" w:customStyle="1" w:styleId="83">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4"/>
    </w:rPr>
  </w:style>
  <w:style w:type="paragraph" w:customStyle="1" w:styleId="8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8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86">
    <w:name w:val="font6"/>
    <w:basedOn w:val="1"/>
    <w:qFormat/>
    <w:uiPriority w:val="0"/>
    <w:pPr>
      <w:widowControl/>
      <w:spacing w:before="100" w:beforeAutospacing="1" w:after="100" w:afterAutospacing="1"/>
      <w:jc w:val="left"/>
    </w:pPr>
    <w:rPr>
      <w:b/>
      <w:bCs/>
      <w:kern w:val="0"/>
      <w:sz w:val="24"/>
    </w:rPr>
  </w:style>
  <w:style w:type="paragraph" w:customStyle="1" w:styleId="87">
    <w:name w:val="pa-1"/>
    <w:basedOn w:val="1"/>
    <w:qFormat/>
    <w:uiPriority w:val="0"/>
    <w:pPr>
      <w:widowControl/>
      <w:spacing w:line="320" w:lineRule="atLeast"/>
      <w:ind w:hanging="560"/>
      <w:jc w:val="left"/>
    </w:pPr>
    <w:rPr>
      <w:rFonts w:ascii="宋体" w:hAnsi="宋体" w:cs="宋体"/>
      <w:kern w:val="0"/>
      <w:sz w:val="24"/>
      <w:szCs w:val="20"/>
    </w:rPr>
  </w:style>
  <w:style w:type="paragraph" w:customStyle="1" w:styleId="88">
    <w:name w:val="xl7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89">
    <w:name w:val="IN Step"/>
    <w:basedOn w:val="1"/>
    <w:qFormat/>
    <w:uiPriority w:val="0"/>
    <w:pPr>
      <w:keepLines/>
      <w:widowControl/>
      <w:spacing w:before="80" w:after="80" w:line="300" w:lineRule="auto"/>
      <w:ind w:left="1134"/>
      <w:outlineLvl w:val="8"/>
    </w:pPr>
    <w:rPr>
      <w:rFonts w:ascii="Arial" w:hAnsi="Arial" w:cs="Arial"/>
      <w:kern w:val="0"/>
      <w:sz w:val="21"/>
      <w:szCs w:val="21"/>
    </w:rPr>
  </w:style>
  <w:style w:type="paragraph" w:customStyle="1" w:styleId="9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9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92">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3">
    <w:name w:val="Char2"/>
    <w:basedOn w:val="1"/>
    <w:qFormat/>
    <w:uiPriority w:val="0"/>
    <w:pPr>
      <w:snapToGrid w:val="0"/>
      <w:ind w:firstLine="200"/>
    </w:pPr>
    <w:rPr>
      <w:sz w:val="21"/>
      <w:szCs w:val="20"/>
    </w:rPr>
  </w:style>
  <w:style w:type="paragraph" w:customStyle="1" w:styleId="94">
    <w:name w:val="xl3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kern w:val="0"/>
      <w:sz w:val="24"/>
    </w:rPr>
  </w:style>
  <w:style w:type="paragraph" w:customStyle="1" w:styleId="95">
    <w:name w:val="xl4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4"/>
    </w:rPr>
  </w:style>
  <w:style w:type="paragraph" w:customStyle="1" w:styleId="96">
    <w:name w:val="B3"/>
    <w:basedOn w:val="1"/>
    <w:qFormat/>
    <w:uiPriority w:val="0"/>
    <w:pPr>
      <w:spacing w:line="640" w:lineRule="exact"/>
    </w:pPr>
    <w:rPr>
      <w:rFonts w:ascii="仿宋_GB2312" w:hAnsi="黑体" w:eastAsia="仿宋_GB2312"/>
      <w:b/>
      <w:szCs w:val="20"/>
    </w:rPr>
  </w:style>
  <w:style w:type="paragraph" w:customStyle="1" w:styleId="97">
    <w:name w:val="pa-5"/>
    <w:basedOn w:val="1"/>
    <w:qFormat/>
    <w:uiPriority w:val="0"/>
    <w:pPr>
      <w:widowControl/>
      <w:spacing w:line="360" w:lineRule="atLeast"/>
      <w:ind w:firstLine="420"/>
    </w:pPr>
    <w:rPr>
      <w:rFonts w:ascii="宋体" w:hAnsi="宋体" w:cs="宋体"/>
      <w:kern w:val="0"/>
      <w:sz w:val="24"/>
      <w:szCs w:val="20"/>
    </w:rPr>
  </w:style>
  <w:style w:type="paragraph" w:customStyle="1" w:styleId="9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99">
    <w:name w:val="1 Char Char Char Char"/>
    <w:basedOn w:val="1"/>
    <w:qFormat/>
    <w:uiPriority w:val="0"/>
    <w:rPr>
      <w:rFonts w:ascii="Tahoma" w:hAnsi="Tahoma"/>
      <w:sz w:val="30"/>
      <w:szCs w:val="30"/>
    </w:rPr>
  </w:style>
  <w:style w:type="paragraph" w:customStyle="1" w:styleId="100">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0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0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0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04">
    <w:name w:val="font7"/>
    <w:basedOn w:val="1"/>
    <w:qFormat/>
    <w:uiPriority w:val="0"/>
    <w:pPr>
      <w:widowControl/>
      <w:spacing w:before="100" w:beforeAutospacing="1" w:after="100" w:afterAutospacing="1"/>
      <w:jc w:val="left"/>
    </w:pPr>
    <w:rPr>
      <w:color w:val="000000"/>
      <w:kern w:val="0"/>
      <w:sz w:val="24"/>
    </w:rPr>
  </w:style>
  <w:style w:type="paragraph" w:customStyle="1" w:styleId="10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106">
    <w:name w:val="Char21"/>
    <w:basedOn w:val="1"/>
    <w:qFormat/>
    <w:uiPriority w:val="0"/>
    <w:pPr>
      <w:snapToGrid w:val="0"/>
      <w:ind w:firstLine="200"/>
    </w:pPr>
    <w:rPr>
      <w:sz w:val="21"/>
      <w:szCs w:val="20"/>
    </w:rPr>
  </w:style>
  <w:style w:type="paragraph" w:customStyle="1" w:styleId="107">
    <w:name w:val="样式1"/>
    <w:basedOn w:val="17"/>
    <w:qFormat/>
    <w:uiPriority w:val="0"/>
    <w:pPr>
      <w:tabs>
        <w:tab w:val="left" w:pos="540"/>
      </w:tabs>
      <w:autoSpaceDE/>
      <w:autoSpaceDN/>
      <w:adjustRightInd/>
      <w:spacing w:line="240" w:lineRule="auto"/>
      <w:ind w:left="540" w:leftChars="257" w:right="-1052" w:rightChars="-501" w:firstLine="0"/>
      <w:jc w:val="both"/>
    </w:pPr>
    <w:rPr>
      <w:rFonts w:ascii="仿宋_GB2312" w:eastAsia="仿宋_GB2312"/>
      <w:kern w:val="2"/>
      <w:sz w:val="32"/>
    </w:rPr>
  </w:style>
  <w:style w:type="paragraph" w:customStyle="1" w:styleId="108">
    <w:name w:val="9正文 Char Char Char Char Char Char Char"/>
    <w:basedOn w:val="1"/>
    <w:qFormat/>
    <w:uiPriority w:val="0"/>
    <w:pPr>
      <w:spacing w:afterLines="50"/>
      <w:ind w:firstLine="480"/>
      <w:textAlignment w:val="center"/>
    </w:pPr>
    <w:rPr>
      <w:sz w:val="24"/>
    </w:rPr>
  </w:style>
  <w:style w:type="paragraph" w:customStyle="1" w:styleId="1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110">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11">
    <w:name w:val="报告正文"/>
    <w:basedOn w:val="1"/>
    <w:qFormat/>
    <w:uiPriority w:val="0"/>
    <w:pPr>
      <w:adjustRightInd w:val="0"/>
      <w:snapToGrid w:val="0"/>
      <w:spacing w:line="480" w:lineRule="exact"/>
      <w:ind w:firstLine="560"/>
    </w:pPr>
    <w:rPr>
      <w:rFonts w:ascii="宋体" w:hAnsi="宋体" w:eastAsia="仿宋_GB2312"/>
      <w:snapToGrid w:val="0"/>
      <w:kern w:val="0"/>
      <w:szCs w:val="30"/>
    </w:rPr>
  </w:style>
  <w:style w:type="paragraph" w:customStyle="1" w:styleId="112">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113">
    <w:name w:val="pa-3"/>
    <w:basedOn w:val="1"/>
    <w:qFormat/>
    <w:uiPriority w:val="0"/>
    <w:pPr>
      <w:widowControl/>
      <w:spacing w:line="320" w:lineRule="atLeast"/>
      <w:ind w:firstLine="560"/>
      <w:jc w:val="left"/>
    </w:pPr>
    <w:rPr>
      <w:rFonts w:ascii="宋体" w:hAnsi="宋体" w:cs="宋体"/>
      <w:kern w:val="0"/>
      <w:sz w:val="24"/>
      <w:szCs w:val="20"/>
    </w:rPr>
  </w:style>
  <w:style w:type="paragraph" w:customStyle="1" w:styleId="11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15">
    <w:name w:val="技术报告正文"/>
    <w:basedOn w:val="1"/>
    <w:qFormat/>
    <w:uiPriority w:val="0"/>
    <w:pPr>
      <w:spacing w:beforeLines="50" w:line="440" w:lineRule="exact"/>
      <w:ind w:firstLine="538" w:firstLineChars="192"/>
    </w:pPr>
    <w:rPr>
      <w:rFonts w:cs="Arial"/>
      <w:bCs/>
    </w:rPr>
  </w:style>
  <w:style w:type="paragraph" w:customStyle="1" w:styleId="11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1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4"/>
    </w:rPr>
  </w:style>
  <w:style w:type="paragraph" w:customStyle="1" w:styleId="11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4"/>
    </w:rPr>
  </w:style>
  <w:style w:type="paragraph" w:customStyle="1" w:styleId="11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rPr>
  </w:style>
  <w:style w:type="paragraph" w:customStyle="1" w:styleId="120">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rPr>
  </w:style>
  <w:style w:type="paragraph" w:customStyle="1" w:styleId="12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4"/>
    </w:rPr>
  </w:style>
  <w:style w:type="paragraph" w:customStyle="1" w:styleId="122">
    <w:name w:val="xl6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color w:val="000000"/>
      <w:kern w:val="0"/>
      <w:sz w:val="24"/>
    </w:rPr>
  </w:style>
  <w:style w:type="paragraph" w:customStyle="1" w:styleId="123">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rPr>
  </w:style>
  <w:style w:type="paragraph" w:customStyle="1" w:styleId="124">
    <w:name w:val="表"/>
    <w:basedOn w:val="1"/>
    <w:qFormat/>
    <w:uiPriority w:val="0"/>
    <w:pPr>
      <w:spacing w:line="340" w:lineRule="exact"/>
      <w:ind w:left="-126" w:leftChars="-60" w:right="143" w:rightChars="68" w:firstLine="71" w:firstLineChars="34"/>
      <w:jc w:val="center"/>
    </w:pPr>
    <w:rPr>
      <w:sz w:val="21"/>
      <w:szCs w:val="21"/>
    </w:rPr>
  </w:style>
  <w:style w:type="paragraph" w:customStyle="1" w:styleId="12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26">
    <w:name w:val="Char"/>
    <w:qFormat/>
    <w:uiPriority w:val="0"/>
    <w:pPr>
      <w:widowControl w:val="0"/>
      <w:spacing w:line="360" w:lineRule="exact"/>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127">
    <w:name w:val="Char Char Char Char"/>
    <w:basedOn w:val="1"/>
    <w:qFormat/>
    <w:uiPriority w:val="0"/>
    <w:pPr>
      <w:widowControl/>
      <w:tabs>
        <w:tab w:val="left" w:pos="4267"/>
      </w:tabs>
      <w:snapToGrid w:val="0"/>
      <w:spacing w:before="80" w:after="80" w:line="300" w:lineRule="auto"/>
      <w:ind w:left="4267" w:hanging="907"/>
    </w:pPr>
    <w:rPr>
      <w:rFonts w:ascii="Arial" w:hAnsi="Arial" w:cs="Arial"/>
      <w:kern w:val="0"/>
      <w:sz w:val="21"/>
      <w:szCs w:val="21"/>
    </w:rPr>
  </w:style>
  <w:style w:type="paragraph" w:customStyle="1" w:styleId="12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rPr>
  </w:style>
  <w:style w:type="paragraph" w:customStyle="1" w:styleId="12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color w:val="000000"/>
      <w:kern w:val="0"/>
      <w:sz w:val="24"/>
    </w:rPr>
  </w:style>
  <w:style w:type="paragraph" w:customStyle="1" w:styleId="13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3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3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3">
    <w:name w:val="reader-word-layer reader-word-s7-17"/>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kern w:val="0"/>
      <w:sz w:val="24"/>
    </w:rPr>
  </w:style>
  <w:style w:type="paragraph" w:customStyle="1" w:styleId="135">
    <w:name w:val="0"/>
    <w:basedOn w:val="1"/>
    <w:qFormat/>
    <w:uiPriority w:val="0"/>
    <w:pPr>
      <w:widowControl/>
      <w:snapToGrid w:val="0"/>
      <w:jc w:val="left"/>
    </w:pPr>
    <w:rPr>
      <w:rFonts w:hint="eastAsia" w:ascii="宋体" w:hAnsi="宋体"/>
      <w:kern w:val="0"/>
      <w:sz w:val="34"/>
      <w:szCs w:val="20"/>
    </w:rPr>
  </w:style>
  <w:style w:type="paragraph" w:customStyle="1" w:styleId="136">
    <w:name w:val="Char Char Char Char Char Char Char Char Char Char Char Char Char Char Char Char"/>
    <w:basedOn w:val="1"/>
    <w:semiHidden/>
    <w:qFormat/>
    <w:uiPriority w:val="0"/>
    <w:rPr>
      <w:sz w:val="21"/>
    </w:rPr>
  </w:style>
  <w:style w:type="paragraph" w:customStyle="1" w:styleId="13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rPr>
  </w:style>
  <w:style w:type="paragraph" w:customStyle="1" w:styleId="138">
    <w:name w:val="Char12111"/>
    <w:basedOn w:val="1"/>
    <w:qFormat/>
    <w:uiPriority w:val="0"/>
    <w:pPr>
      <w:spacing w:line="500" w:lineRule="exact"/>
      <w:ind w:firstLine="560"/>
    </w:pPr>
    <w:rPr>
      <w:rFonts w:hint="eastAsia" w:eastAsia="Adobe 仿宋 Std R"/>
      <w:szCs w:val="20"/>
    </w:rPr>
  </w:style>
  <w:style w:type="paragraph" w:customStyle="1" w:styleId="139">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4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41">
    <w:name w:val="样式3"/>
    <w:basedOn w:val="1"/>
    <w:link w:val="205"/>
    <w:qFormat/>
    <w:uiPriority w:val="99"/>
    <w:pPr>
      <w:spacing w:line="480" w:lineRule="auto"/>
      <w:ind w:firstLine="640"/>
    </w:pPr>
    <w:rPr>
      <w:rFonts w:ascii="宋体" w:hAnsi="宋体" w:eastAsia="Times New Roman"/>
      <w:color w:val="000000"/>
      <w:sz w:val="32"/>
      <w:szCs w:val="32"/>
    </w:rPr>
  </w:style>
  <w:style w:type="paragraph" w:customStyle="1" w:styleId="142">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43">
    <w:name w:val="reader-word-layer reader-word-s7-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4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45">
    <w:name w:val="默认段落字体 Para Char Char Char Char"/>
    <w:basedOn w:val="1"/>
    <w:qFormat/>
    <w:uiPriority w:val="0"/>
    <w:rPr>
      <w:sz w:val="21"/>
      <w:szCs w:val="20"/>
    </w:rPr>
  </w:style>
  <w:style w:type="paragraph" w:customStyle="1" w:styleId="146">
    <w:name w:val="pa-2"/>
    <w:basedOn w:val="1"/>
    <w:qFormat/>
    <w:uiPriority w:val="0"/>
    <w:pPr>
      <w:widowControl/>
      <w:spacing w:line="320" w:lineRule="atLeast"/>
      <w:jc w:val="left"/>
    </w:pPr>
    <w:rPr>
      <w:rFonts w:ascii="宋体" w:hAnsi="宋体" w:cs="宋体"/>
      <w:kern w:val="0"/>
      <w:sz w:val="24"/>
      <w:szCs w:val="20"/>
    </w:rPr>
  </w:style>
  <w:style w:type="paragraph" w:customStyle="1" w:styleId="14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4"/>
    </w:rPr>
  </w:style>
  <w:style w:type="paragraph" w:customStyle="1" w:styleId="148">
    <w:name w:val="xl7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color w:val="000000"/>
      <w:kern w:val="0"/>
      <w:sz w:val="24"/>
    </w:rPr>
  </w:style>
  <w:style w:type="paragraph" w:customStyle="1" w:styleId="149">
    <w:name w:val="p0"/>
    <w:basedOn w:val="1"/>
    <w:qFormat/>
    <w:uiPriority w:val="0"/>
    <w:pPr>
      <w:widowControl/>
      <w:ind w:firstLine="420"/>
    </w:pPr>
    <w:rPr>
      <w:kern w:val="0"/>
      <w:szCs w:val="28"/>
    </w:rPr>
  </w:style>
  <w:style w:type="paragraph" w:customStyle="1" w:styleId="150">
    <w:name w:val="默认段落字体 Para Char"/>
    <w:basedOn w:val="1"/>
    <w:qFormat/>
    <w:uiPriority w:val="0"/>
    <w:pPr>
      <w:ind w:firstLine="200"/>
    </w:pPr>
    <w:rPr>
      <w:sz w:val="21"/>
    </w:rPr>
  </w:style>
  <w:style w:type="paragraph" w:customStyle="1" w:styleId="151">
    <w:name w:val="首行缩进两字"/>
    <w:basedOn w:val="1"/>
    <w:qFormat/>
    <w:uiPriority w:val="0"/>
    <w:pPr>
      <w:ind w:firstLine="560"/>
      <w:jc w:val="left"/>
    </w:pPr>
    <w:rPr>
      <w:rFonts w:ascii="宋体" w:hAnsi="宋体"/>
    </w:rPr>
  </w:style>
  <w:style w:type="paragraph" w:customStyle="1" w:styleId="15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4"/>
    </w:rPr>
  </w:style>
  <w:style w:type="paragraph" w:customStyle="1" w:styleId="153">
    <w:name w:val="font1"/>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15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55">
    <w:name w:val="Table Description"/>
    <w:next w:val="1"/>
    <w:qFormat/>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156">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color w:val="000000"/>
      <w:kern w:val="0"/>
      <w:sz w:val="24"/>
    </w:rPr>
  </w:style>
  <w:style w:type="paragraph" w:customStyle="1" w:styleId="157">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8">
    <w:name w:val="xl5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4"/>
    </w:rPr>
  </w:style>
  <w:style w:type="paragraph" w:customStyle="1" w:styleId="159">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4"/>
    </w:rPr>
  </w:style>
  <w:style w:type="paragraph" w:customStyle="1" w:styleId="160">
    <w:name w:val="xl7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6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62">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16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16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65">
    <w:name w:val="Char Char Char Char Char Char Char"/>
    <w:basedOn w:val="1"/>
    <w:qFormat/>
    <w:uiPriority w:val="0"/>
    <w:rPr>
      <w:sz w:val="21"/>
    </w:rPr>
  </w:style>
  <w:style w:type="paragraph" w:customStyle="1" w:styleId="16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67">
    <w:name w:val="pa-4"/>
    <w:basedOn w:val="1"/>
    <w:qFormat/>
    <w:uiPriority w:val="0"/>
    <w:pPr>
      <w:widowControl/>
      <w:spacing w:line="360" w:lineRule="atLeast"/>
    </w:pPr>
    <w:rPr>
      <w:rFonts w:ascii="宋体" w:hAnsi="宋体" w:cs="宋体"/>
      <w:kern w:val="0"/>
      <w:sz w:val="24"/>
      <w:szCs w:val="20"/>
    </w:rPr>
  </w:style>
  <w:style w:type="table" w:customStyle="1" w:styleId="168">
    <w:name w:val="Table"/>
    <w:basedOn w:val="41"/>
    <w:qFormat/>
    <w:uiPriority w:val="0"/>
    <w:pPr>
      <w:snapToGrid w:val="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character" w:customStyle="1" w:styleId="169">
    <w:name w:val="正文文本 Char"/>
    <w:basedOn w:val="42"/>
    <w:link w:val="14"/>
    <w:qFormat/>
    <w:uiPriority w:val="0"/>
    <w:rPr>
      <w:kern w:val="2"/>
      <w:sz w:val="21"/>
      <w:szCs w:val="24"/>
    </w:rPr>
  </w:style>
  <w:style w:type="character" w:customStyle="1" w:styleId="170">
    <w:name w:val="正文首行缩进 Char"/>
    <w:basedOn w:val="169"/>
    <w:link w:val="39"/>
    <w:qFormat/>
    <w:uiPriority w:val="0"/>
    <w:rPr>
      <w:rFonts w:eastAsia="仿宋"/>
    </w:rPr>
  </w:style>
  <w:style w:type="paragraph" w:customStyle="1" w:styleId="17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3">
    <w:name w:val="xl78"/>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76">
    <w:name w:val="xl81"/>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8">
    <w:name w:val="xl8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79">
    <w:name w:val="xl84"/>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8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182">
    <w:name w:val="xl87"/>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customStyle="1" w:styleId="183">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8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85">
    <w:name w:val="xl9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8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8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88">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89">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0">
    <w:name w:val="xl95"/>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customStyle="1" w:styleId="191">
    <w:name w:val="xl96"/>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2">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3">
    <w:name w:val="xl98"/>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customStyle="1" w:styleId="194">
    <w:name w:val="xl9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6">
    <w:name w:val="xl101"/>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customStyle="1" w:styleId="19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98">
    <w:name w:val="xl103"/>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99">
    <w:name w:val="xl104"/>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0">
    <w:name w:val="xl105"/>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1">
    <w:name w:val="xl106"/>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02">
    <w:name w:val="xl107"/>
    <w:basedOn w:val="1"/>
    <w:qFormat/>
    <w:uiPriority w:val="0"/>
    <w:pPr>
      <w:widowControl/>
      <w:pBdr>
        <w:top w:val="single" w:color="auto" w:sz="4" w:space="0"/>
        <w:left w:val="single" w:color="auto" w:sz="4" w:space="0"/>
        <w:bottom w:val="double" w:color="auto" w:sz="6"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customStyle="1" w:styleId="203">
    <w:name w:val="xl108"/>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宋体" w:hAnsi="宋体" w:cs="宋体"/>
      <w:kern w:val="0"/>
      <w:sz w:val="22"/>
      <w:szCs w:val="22"/>
    </w:rPr>
  </w:style>
  <w:style w:type="paragraph" w:styleId="204">
    <w:name w:val="List Paragraph"/>
    <w:basedOn w:val="1"/>
    <w:qFormat/>
    <w:uiPriority w:val="99"/>
    <w:pPr>
      <w:ind w:firstLine="420"/>
    </w:pPr>
  </w:style>
  <w:style w:type="character" w:customStyle="1" w:styleId="205">
    <w:name w:val="样式3 Char"/>
    <w:link w:val="141"/>
    <w:qFormat/>
    <w:uiPriority w:val="99"/>
    <w:rPr>
      <w:rFonts w:ascii="宋体" w:hAnsi="宋体" w:eastAsia="Times New Roman"/>
      <w:color w:val="000000"/>
      <w:kern w:val="2"/>
      <w:sz w:val="32"/>
      <w:szCs w:val="32"/>
    </w:rPr>
  </w:style>
  <w:style w:type="paragraph" w:customStyle="1" w:styleId="206">
    <w:name w:val="WPSOffice手动目录 1"/>
    <w:qFormat/>
    <w:uiPriority w:val="0"/>
    <w:rPr>
      <w:rFonts w:asciiTheme="minorHAnsi" w:hAnsiTheme="minorHAnsi" w:eastAsiaTheme="minorEastAsia" w:cstheme="minorBidi"/>
      <w:lang w:val="en-US" w:eastAsia="zh-CN" w:bidi="ar-SA"/>
    </w:rPr>
  </w:style>
  <w:style w:type="paragraph" w:customStyle="1" w:styleId="207">
    <w:name w:val="样式 首行缩进:  2 字符"/>
    <w:basedOn w:val="1"/>
    <w:qFormat/>
    <w:uiPriority w:val="0"/>
    <w:pPr>
      <w:spacing w:line="480" w:lineRule="exact"/>
      <w:ind w:firstLine="200"/>
    </w:pPr>
    <w:rPr>
      <w:rFonts w:cs="宋体"/>
      <w:szCs w:val="20"/>
    </w:rPr>
  </w:style>
  <w:style w:type="character" w:customStyle="1" w:styleId="208">
    <w:name w:val="样式 宋体"/>
    <w:basedOn w:val="42"/>
    <w:qFormat/>
    <w:uiPriority w:val="0"/>
    <w:rPr>
      <w:rFonts w:ascii="宋体" w:hAnsi="宋体" w:eastAsia="宋体"/>
      <w:sz w:val="28"/>
    </w:rPr>
  </w:style>
  <w:style w:type="character" w:customStyle="1" w:styleId="209">
    <w:name w:val="font51"/>
    <w:basedOn w:val="42"/>
    <w:qFormat/>
    <w:uiPriority w:val="0"/>
    <w:rPr>
      <w:rFonts w:hint="eastAsia" w:ascii="宋体" w:hAnsi="宋体" w:eastAsia="宋体" w:cs="宋体"/>
      <w:color w:val="000000"/>
      <w:sz w:val="20"/>
      <w:szCs w:val="20"/>
      <w:u w:val="none"/>
      <w:vertAlign w:val="superscript"/>
    </w:rPr>
  </w:style>
  <w:style w:type="character" w:customStyle="1" w:styleId="210">
    <w:name w:val="font11"/>
    <w:basedOn w:val="42"/>
    <w:qFormat/>
    <w:uiPriority w:val="0"/>
    <w:rPr>
      <w:rFonts w:hint="eastAsia" w:ascii="宋体" w:hAnsi="宋体" w:eastAsia="宋体" w:cs="宋体"/>
      <w:color w:val="000000"/>
      <w:sz w:val="20"/>
      <w:szCs w:val="20"/>
      <w:u w:val="none"/>
    </w:rPr>
  </w:style>
  <w:style w:type="character" w:customStyle="1" w:styleId="211">
    <w:name w:val="font41"/>
    <w:basedOn w:val="42"/>
    <w:qFormat/>
    <w:uiPriority w:val="0"/>
    <w:rPr>
      <w:rFonts w:hint="eastAsia" w:ascii="宋体" w:hAnsi="宋体" w:eastAsia="宋体" w:cs="宋体"/>
      <w:color w:val="000000"/>
      <w:sz w:val="20"/>
      <w:szCs w:val="20"/>
      <w:u w:val="none"/>
      <w:vertAlign w:val="superscript"/>
    </w:rPr>
  </w:style>
  <w:style w:type="character" w:customStyle="1" w:styleId="212">
    <w:name w:val="font71"/>
    <w:basedOn w:val="42"/>
    <w:qFormat/>
    <w:uiPriority w:val="0"/>
    <w:rPr>
      <w:rFonts w:hint="eastAsia" w:ascii="宋体" w:hAnsi="宋体" w:eastAsia="宋体" w:cs="宋体"/>
      <w:b/>
      <w:color w:val="000000"/>
      <w:sz w:val="18"/>
      <w:szCs w:val="18"/>
      <w:u w:val="none"/>
    </w:rPr>
  </w:style>
  <w:style w:type="character" w:customStyle="1" w:styleId="213">
    <w:name w:val="font21"/>
    <w:basedOn w:val="42"/>
    <w:qFormat/>
    <w:uiPriority w:val="0"/>
    <w:rPr>
      <w:rFonts w:hint="default" w:ascii="Times New Roman" w:hAnsi="Times New Roman" w:cs="Times New Roman"/>
      <w:b/>
      <w:color w:val="000000"/>
      <w:sz w:val="20"/>
      <w:szCs w:val="20"/>
      <w:u w:val="none"/>
    </w:rPr>
  </w:style>
  <w:style w:type="character" w:customStyle="1" w:styleId="214">
    <w:name w:val="font31"/>
    <w:basedOn w:val="42"/>
    <w:qFormat/>
    <w:uiPriority w:val="0"/>
    <w:rPr>
      <w:rFonts w:hint="default" w:ascii="Times New Roman" w:hAnsi="Times New Roman" w:cs="Times New Roman"/>
      <w:color w:val="000000"/>
      <w:sz w:val="20"/>
      <w:szCs w:val="20"/>
      <w:u w:val="none"/>
    </w:rPr>
  </w:style>
  <w:style w:type="paragraph" w:customStyle="1" w:styleId="215">
    <w:name w:val="Table Paragraph"/>
    <w:basedOn w:val="1"/>
    <w:qFormat/>
    <w:uiPriority w:val="1"/>
    <w:pPr>
      <w:jc w:val="center"/>
    </w:pPr>
    <w:rPr>
      <w:rFonts w:ascii="宋体" w:hAnsi="宋体" w:eastAsia="宋体" w:cs="宋体"/>
    </w:rPr>
  </w:style>
  <w:style w:type="character" w:customStyle="1" w:styleId="216">
    <w:name w:val="font01"/>
    <w:basedOn w:val="42"/>
    <w:qFormat/>
    <w:uiPriority w:val="0"/>
    <w:rPr>
      <w:rFonts w:hint="default" w:ascii="Times New Roman" w:hAnsi="Times New Roman" w:cs="Times New Roman"/>
      <w:b/>
      <w:color w:val="000000"/>
      <w:sz w:val="20"/>
      <w:szCs w:val="20"/>
      <w:u w:val="none"/>
    </w:rPr>
  </w:style>
  <w:style w:type="character" w:customStyle="1" w:styleId="217">
    <w:name w:val="font61"/>
    <w:basedOn w:val="42"/>
    <w:qFormat/>
    <w:uiPriority w:val="0"/>
    <w:rPr>
      <w:rFonts w:hint="eastAsia" w:ascii="宋体" w:hAnsi="宋体" w:eastAsia="宋体" w:cs="宋体"/>
      <w:color w:val="000000"/>
      <w:sz w:val="16"/>
      <w:szCs w:val="16"/>
      <w:u w:val="none"/>
      <w:vertAlign w:val="superscript"/>
    </w:rPr>
  </w:style>
  <w:style w:type="character" w:customStyle="1" w:styleId="218">
    <w:name w:val="font81"/>
    <w:basedOn w:val="42"/>
    <w:qFormat/>
    <w:uiPriority w:val="0"/>
    <w:rPr>
      <w:rFonts w:hint="default" w:ascii="Times New Roman" w:hAnsi="Times New Roman" w:cs="Times New Roman"/>
      <w:color w:val="000000"/>
      <w:sz w:val="21"/>
      <w:szCs w:val="21"/>
      <w:u w:val="none"/>
      <w:vertAlign w:val="superscript"/>
    </w:rPr>
  </w:style>
  <w:style w:type="character" w:customStyle="1" w:styleId="219">
    <w:name w:val="font91"/>
    <w:basedOn w:val="42"/>
    <w:qFormat/>
    <w:uiPriority w:val="0"/>
    <w:rPr>
      <w:rFonts w:ascii="Calibri" w:hAnsi="Calibri" w:cs="Calibri"/>
      <w:color w:val="000000"/>
      <w:sz w:val="21"/>
      <w:szCs w:val="21"/>
      <w:u w:val="none"/>
    </w:rPr>
  </w:style>
  <w:style w:type="character" w:customStyle="1" w:styleId="220">
    <w:name w:val="font122"/>
    <w:basedOn w:val="42"/>
    <w:qFormat/>
    <w:uiPriority w:val="0"/>
    <w:rPr>
      <w:rFonts w:hint="eastAsia" w:ascii="仿宋" w:hAnsi="仿宋" w:eastAsia="仿宋" w:cs="仿宋"/>
      <w:b/>
      <w:color w:val="000000"/>
      <w:sz w:val="16"/>
      <w:szCs w:val="16"/>
      <w:u w:val="none"/>
      <w:vertAlign w:val="superscript"/>
    </w:rPr>
  </w:style>
  <w:style w:type="character" w:customStyle="1" w:styleId="221">
    <w:name w:val="font111"/>
    <w:basedOn w:val="42"/>
    <w:qFormat/>
    <w:uiPriority w:val="0"/>
    <w:rPr>
      <w:rFonts w:hint="eastAsia" w:ascii="仿宋" w:hAnsi="仿宋" w:eastAsia="仿宋" w:cs="仿宋"/>
      <w:color w:val="000000"/>
      <w:sz w:val="16"/>
      <w:szCs w:val="16"/>
      <w:u w:val="none"/>
      <w:vertAlign w:val="superscript"/>
    </w:rPr>
  </w:style>
  <w:style w:type="character" w:customStyle="1" w:styleId="222">
    <w:name w:val="font171"/>
    <w:basedOn w:val="42"/>
    <w:qFormat/>
    <w:uiPriority w:val="0"/>
    <w:rPr>
      <w:rFonts w:hint="eastAsia" w:ascii="宋体" w:hAnsi="宋体" w:eastAsia="宋体" w:cs="宋体"/>
      <w:color w:val="000000"/>
      <w:sz w:val="16"/>
      <w:szCs w:val="16"/>
      <w:u w:val="none"/>
    </w:rPr>
  </w:style>
  <w:style w:type="character" w:customStyle="1" w:styleId="223">
    <w:name w:val="font131"/>
    <w:basedOn w:val="42"/>
    <w:qFormat/>
    <w:uiPriority w:val="0"/>
    <w:rPr>
      <w:rFonts w:hint="eastAsia" w:ascii="仿宋" w:hAnsi="仿宋" w:eastAsia="仿宋" w:cs="仿宋"/>
      <w:color w:val="000000"/>
      <w:sz w:val="16"/>
      <w:szCs w:val="16"/>
      <w:u w:val="none"/>
    </w:rPr>
  </w:style>
  <w:style w:type="character" w:customStyle="1" w:styleId="224">
    <w:name w:val="font101"/>
    <w:basedOn w:val="42"/>
    <w:qFormat/>
    <w:uiPriority w:val="0"/>
    <w:rPr>
      <w:rFonts w:hint="eastAsia" w:ascii="仿宋" w:hAnsi="仿宋" w:eastAsia="仿宋" w:cs="仿宋"/>
      <w:color w:val="000000"/>
      <w:sz w:val="16"/>
      <w:szCs w:val="16"/>
      <w:u w:val="none"/>
    </w:rPr>
  </w:style>
  <w:style w:type="character" w:customStyle="1" w:styleId="225">
    <w:name w:val="font141"/>
    <w:basedOn w:val="42"/>
    <w:qFormat/>
    <w:uiPriority w:val="0"/>
    <w:rPr>
      <w:rFonts w:hint="eastAsia" w:ascii="宋体" w:hAnsi="宋体" w:eastAsia="宋体" w:cs="宋体"/>
      <w:color w:val="000000"/>
      <w:sz w:val="16"/>
      <w:szCs w:val="16"/>
      <w:u w:val="none"/>
    </w:rPr>
  </w:style>
  <w:style w:type="character" w:customStyle="1" w:styleId="226">
    <w:name w:val="font151"/>
    <w:basedOn w:val="42"/>
    <w:qFormat/>
    <w:uiPriority w:val="0"/>
    <w:rPr>
      <w:rFonts w:hint="eastAsia" w:ascii="仿宋" w:hAnsi="仿宋" w:eastAsia="仿宋" w:cs="仿宋"/>
      <w:color w:val="000000"/>
      <w:sz w:val="16"/>
      <w:szCs w:val="16"/>
      <w:u w:val="none"/>
    </w:rPr>
  </w:style>
  <w:style w:type="character" w:customStyle="1" w:styleId="227">
    <w:name w:val="hao1"/>
    <w:basedOn w:val="42"/>
    <w:qFormat/>
    <w:uiPriority w:val="0"/>
    <w:rPr>
      <w:b/>
    </w:rPr>
  </w:style>
  <w:style w:type="character" w:customStyle="1" w:styleId="228">
    <w:name w:val="wz"/>
    <w:basedOn w:val="42"/>
    <w:qFormat/>
    <w:uiPriority w:val="0"/>
    <w:rPr>
      <w:vanish/>
      <w:color w:val="808080"/>
    </w:rPr>
  </w:style>
  <w:style w:type="character" w:customStyle="1" w:styleId="229">
    <w:name w:val="font112"/>
    <w:basedOn w:val="42"/>
    <w:qFormat/>
    <w:uiPriority w:val="0"/>
    <w:rPr>
      <w:rFonts w:hint="eastAsia" w:ascii="仿宋" w:hAnsi="仿宋" w:eastAsia="仿宋" w:cs="仿宋"/>
      <w:color w:val="000000"/>
      <w:sz w:val="16"/>
      <w:szCs w:val="16"/>
      <w:u w:val="none"/>
    </w:rPr>
  </w:style>
  <w:style w:type="character" w:customStyle="1" w:styleId="230">
    <w:name w:val="font121"/>
    <w:basedOn w:val="42"/>
    <w:qFormat/>
    <w:uiPriority w:val="0"/>
    <w:rPr>
      <w:rFonts w:hint="eastAsia" w:ascii="仿宋" w:hAnsi="仿宋" w:eastAsia="仿宋" w:cs="仿宋"/>
      <w:color w:val="000000"/>
      <w:sz w:val="16"/>
      <w:szCs w:val="16"/>
      <w:u w:val="none"/>
      <w:vertAlign w:val="superscript"/>
    </w:rPr>
  </w:style>
  <w:style w:type="character" w:customStyle="1" w:styleId="231">
    <w:name w:val="font12"/>
    <w:basedOn w:val="42"/>
    <w:qFormat/>
    <w:uiPriority w:val="0"/>
    <w:rPr>
      <w:rFonts w:hint="eastAsia" w:ascii="仿宋" w:hAnsi="仿宋" w:eastAsia="仿宋" w:cs="仿宋"/>
      <w:color w:val="000000"/>
      <w:sz w:val="16"/>
      <w:szCs w:val="16"/>
      <w:u w:val="none"/>
    </w:rPr>
  </w:style>
  <w:style w:type="character" w:customStyle="1" w:styleId="232">
    <w:name w:val="页脚 Char"/>
    <w:link w:val="25"/>
    <w:qFormat/>
    <w:uiPriority w:val="0"/>
    <w:rPr>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1C9D8-7F1B-480B-9002-43521874EC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56320</Words>
  <Characters>62919</Characters>
  <Lines>147</Lines>
  <Paragraphs>120</Paragraphs>
  <TotalTime>4</TotalTime>
  <ScaleCrop>false</ScaleCrop>
  <LinksUpToDate>false</LinksUpToDate>
  <CharactersWithSpaces>63383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2019-05-27T03:01:00Z</dcterms:created>
  <dc:creator>Administrator</dc:creator>
  <cp:lastModifiedBy>Administrator</cp:lastModifiedBy>
  <cp:lastPrinted>2021-12-21T03:22:00Z</cp:lastPrinted>
  <dcterms:modified xsi:type="dcterms:W3CDTF">2022-12-09T13:54:35Z</dcterms:modified>
  <dc:title>目　录</dc:title>
  <cp:revision>328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407197818_btnclosed</vt:lpwstr>
  </property>
  <property fmtid="{D5CDD505-2E9C-101B-9397-08002B2CF9AE}" pid="4" name="ICV">
    <vt:lpwstr>ED367169E5C7496C9D6DA6881392A76A</vt:lpwstr>
  </property>
</Properties>
</file>